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04C21" w14:textId="718BEF88" w:rsidR="004160EE" w:rsidRDefault="00E03E1D" w:rsidP="004160EE">
      <w:pPr>
        <w:pStyle w:val="Heading1"/>
        <w:rPr>
          <w:rFonts w:eastAsia="SimSun"/>
          <w:lang w:val="en-US" w:eastAsia="en-GB"/>
        </w:rPr>
      </w:pPr>
      <w:r>
        <w:rPr>
          <w:rFonts w:eastAsia="SimSun"/>
          <w:lang w:val="en-US" w:eastAsia="en-GB"/>
        </w:rPr>
        <w:t>Supplementary Information</w:t>
      </w:r>
    </w:p>
    <w:p w14:paraId="5ADE68FA" w14:textId="0DFDDF36" w:rsidR="00E03E1D" w:rsidRDefault="00E03E1D" w:rsidP="00E03E1D">
      <w:pPr>
        <w:pStyle w:val="Heading2"/>
        <w:rPr>
          <w:rFonts w:eastAsia="SimSun"/>
          <w:lang w:val="en-US" w:eastAsia="en-GB"/>
        </w:rPr>
      </w:pPr>
      <w:r>
        <w:rPr>
          <w:rFonts w:eastAsia="SimSun"/>
          <w:lang w:val="en-US" w:eastAsia="en-GB"/>
        </w:rPr>
        <w:t>1 Supplementary Tables</w:t>
      </w:r>
    </w:p>
    <w:p w14:paraId="4709957C" w14:textId="6EE71326" w:rsidR="00E03E1D" w:rsidRDefault="00E03E1D" w:rsidP="00E03E1D">
      <w:pPr>
        <w:pStyle w:val="Caption"/>
        <w:rPr>
          <w:rFonts w:eastAsia="SimSun"/>
          <w:lang w:val="en-US" w:eastAsia="en-GB"/>
        </w:rPr>
      </w:pPr>
      <w:r w:rsidRPr="00E03E1D">
        <w:rPr>
          <w:rFonts w:eastAsia="SimSun"/>
          <w:lang w:val="en-US" w:eastAsia="en-GB"/>
        </w:rPr>
        <w:t>Table S1: Summary table of the set-up for the experiments presented in the study (see methodology for full details).</w:t>
      </w:r>
    </w:p>
    <w:tbl>
      <w:tblPr>
        <w:tblStyle w:val="TableGrid"/>
        <w:tblW w:w="0" w:type="auto"/>
        <w:tblLook w:val="04A0" w:firstRow="1" w:lastRow="0" w:firstColumn="1" w:lastColumn="0" w:noHBand="0" w:noVBand="1"/>
      </w:tblPr>
      <w:tblGrid>
        <w:gridCol w:w="2896"/>
        <w:gridCol w:w="2496"/>
        <w:gridCol w:w="1297"/>
        <w:gridCol w:w="1008"/>
        <w:gridCol w:w="1313"/>
      </w:tblGrid>
      <w:tr w:rsidR="00E03E1D" w14:paraId="42BB6FCE" w14:textId="77777777" w:rsidTr="00E444D4">
        <w:tc>
          <w:tcPr>
            <w:tcW w:w="2896" w:type="dxa"/>
          </w:tcPr>
          <w:p w14:paraId="6F37E087" w14:textId="77777777" w:rsidR="00E03E1D" w:rsidRPr="00457E4C" w:rsidRDefault="00E03E1D" w:rsidP="00E03E1D">
            <w:pPr>
              <w:jc w:val="left"/>
              <w:rPr>
                <w:rFonts w:cs="Times New Roman"/>
                <w:b/>
                <w:lang w:val="en-GB"/>
              </w:rPr>
            </w:pPr>
            <w:r>
              <w:rPr>
                <w:rFonts w:cs="Times New Roman"/>
                <w:b/>
                <w:lang w:val="en-GB"/>
              </w:rPr>
              <w:t>Name</w:t>
            </w:r>
          </w:p>
        </w:tc>
        <w:tc>
          <w:tcPr>
            <w:tcW w:w="2496" w:type="dxa"/>
          </w:tcPr>
          <w:p w14:paraId="4DAD7F85" w14:textId="77777777" w:rsidR="00E03E1D" w:rsidRPr="00457E4C" w:rsidRDefault="00E03E1D" w:rsidP="00E03E1D">
            <w:pPr>
              <w:jc w:val="left"/>
              <w:rPr>
                <w:rFonts w:cs="Times New Roman"/>
                <w:b/>
                <w:lang w:val="en-GB"/>
              </w:rPr>
            </w:pPr>
            <w:r>
              <w:rPr>
                <w:rFonts w:cs="Times New Roman"/>
                <w:b/>
                <w:lang w:val="en-GB"/>
              </w:rPr>
              <w:t>Initial ice Thickness</w:t>
            </w:r>
          </w:p>
        </w:tc>
        <w:tc>
          <w:tcPr>
            <w:tcW w:w="1297" w:type="dxa"/>
          </w:tcPr>
          <w:p w14:paraId="1402017D" w14:textId="77777777" w:rsidR="00E03E1D" w:rsidRPr="00457E4C" w:rsidRDefault="00E03E1D" w:rsidP="00E03E1D">
            <w:pPr>
              <w:jc w:val="left"/>
              <w:rPr>
                <w:rFonts w:cs="Times New Roman"/>
                <w:b/>
                <w:lang w:val="en-GB"/>
              </w:rPr>
            </w:pPr>
            <w:r>
              <w:rPr>
                <w:rFonts w:cs="Times New Roman"/>
                <w:b/>
                <w:lang w:val="en-GB"/>
              </w:rPr>
              <w:t>Surface mass balance</w:t>
            </w:r>
          </w:p>
        </w:tc>
        <w:tc>
          <w:tcPr>
            <w:tcW w:w="1008" w:type="dxa"/>
          </w:tcPr>
          <w:p w14:paraId="2BFFC8AA" w14:textId="77777777" w:rsidR="00E03E1D" w:rsidRPr="00457E4C" w:rsidRDefault="00E03E1D" w:rsidP="00E03E1D">
            <w:pPr>
              <w:jc w:val="left"/>
              <w:rPr>
                <w:rFonts w:cs="Times New Roman"/>
                <w:b/>
                <w:lang w:val="en-GB"/>
              </w:rPr>
            </w:pPr>
            <w:r>
              <w:rPr>
                <w:rFonts w:cs="Times New Roman"/>
                <w:b/>
                <w:lang w:val="en-GB"/>
              </w:rPr>
              <w:t>Sub-shelf melt</w:t>
            </w:r>
          </w:p>
        </w:tc>
        <w:tc>
          <w:tcPr>
            <w:tcW w:w="1313" w:type="dxa"/>
          </w:tcPr>
          <w:p w14:paraId="0EC1FAB3" w14:textId="77777777" w:rsidR="00E03E1D" w:rsidRPr="00457E4C" w:rsidRDefault="00E03E1D" w:rsidP="00E03E1D">
            <w:pPr>
              <w:jc w:val="left"/>
              <w:rPr>
                <w:rFonts w:cs="Times New Roman"/>
                <w:b/>
                <w:lang w:val="en-GB"/>
              </w:rPr>
            </w:pPr>
            <w:r>
              <w:rPr>
                <w:rFonts w:cs="Times New Roman"/>
                <w:b/>
                <w:lang w:val="en-GB"/>
              </w:rPr>
              <w:t>Basal Friction</w:t>
            </w:r>
          </w:p>
        </w:tc>
      </w:tr>
      <w:tr w:rsidR="00E03E1D" w14:paraId="3541F87F" w14:textId="77777777" w:rsidTr="00E444D4">
        <w:tc>
          <w:tcPr>
            <w:tcW w:w="2896" w:type="dxa"/>
          </w:tcPr>
          <w:p w14:paraId="2BBD1651" w14:textId="77777777" w:rsidR="00E03E1D" w:rsidRDefault="00E03E1D" w:rsidP="00E03E1D">
            <w:pPr>
              <w:jc w:val="left"/>
              <w:rPr>
                <w:rFonts w:cs="Times New Roman"/>
                <w:i/>
                <w:lang w:val="en-GB"/>
              </w:rPr>
            </w:pPr>
            <w:r>
              <w:rPr>
                <w:rFonts w:cs="Times New Roman"/>
                <w:i/>
                <w:lang w:val="en-GB"/>
              </w:rPr>
              <w:t>SPINUP</w:t>
            </w:r>
          </w:p>
        </w:tc>
        <w:tc>
          <w:tcPr>
            <w:tcW w:w="2496" w:type="dxa"/>
          </w:tcPr>
          <w:p w14:paraId="100DEB29" w14:textId="77777777" w:rsidR="00E03E1D" w:rsidRPr="00AF2DFE" w:rsidRDefault="00E03E1D" w:rsidP="00E03E1D">
            <w:pPr>
              <w:jc w:val="left"/>
              <w:rPr>
                <w:rFonts w:cs="Times New Roman"/>
                <w:lang w:val="en-GB"/>
              </w:rPr>
            </w:pPr>
            <w:r w:rsidRPr="00AF2DFE">
              <w:rPr>
                <w:rFonts w:cs="Times New Roman"/>
                <w:lang w:val="en-GB"/>
              </w:rPr>
              <w:t>Plastic thickness</w:t>
            </w:r>
          </w:p>
        </w:tc>
        <w:tc>
          <w:tcPr>
            <w:tcW w:w="1297" w:type="dxa"/>
          </w:tcPr>
          <w:p w14:paraId="01032D2F" w14:textId="77777777" w:rsidR="00E03E1D" w:rsidRPr="00AF2DFE" w:rsidRDefault="00E03E1D" w:rsidP="00E03E1D">
            <w:pPr>
              <w:jc w:val="left"/>
              <w:rPr>
                <w:rFonts w:cs="Times New Roman"/>
                <w:lang w:val="en-GB"/>
              </w:rPr>
            </w:pPr>
            <w:r>
              <w:rPr>
                <w:rFonts w:cs="Times New Roman"/>
                <w:lang w:val="en-GB"/>
              </w:rPr>
              <w:t>26 ka BP</w:t>
            </w:r>
          </w:p>
        </w:tc>
        <w:tc>
          <w:tcPr>
            <w:tcW w:w="1008" w:type="dxa"/>
          </w:tcPr>
          <w:p w14:paraId="71E91AC5" w14:textId="77777777" w:rsidR="00E03E1D" w:rsidRPr="00AF2DFE" w:rsidRDefault="00E03E1D" w:rsidP="00E03E1D">
            <w:pPr>
              <w:jc w:val="left"/>
              <w:rPr>
                <w:rFonts w:cs="Times New Roman"/>
                <w:lang w:val="en-GB"/>
              </w:rPr>
            </w:pPr>
            <w:r w:rsidRPr="00AF2DFE">
              <w:rPr>
                <w:rFonts w:cs="Times New Roman"/>
                <w:lang w:val="en-GB"/>
              </w:rPr>
              <w:t>26.3 m/y</w:t>
            </w:r>
          </w:p>
        </w:tc>
        <w:tc>
          <w:tcPr>
            <w:tcW w:w="1313" w:type="dxa"/>
          </w:tcPr>
          <w:p w14:paraId="16B4E856" w14:textId="77777777" w:rsidR="00E03E1D" w:rsidRPr="00AF2DFE" w:rsidRDefault="00E03E1D" w:rsidP="00E03E1D">
            <w:pPr>
              <w:jc w:val="left"/>
              <w:rPr>
                <w:rFonts w:cs="Times New Roman"/>
                <w:lang w:val="en-GB"/>
              </w:rPr>
            </w:pPr>
            <w:r>
              <w:rPr>
                <w:rFonts w:cs="Times New Roman"/>
                <w:lang w:val="en-GB"/>
              </w:rPr>
              <w:t>Standard (Fig.</w:t>
            </w:r>
            <w:r w:rsidRPr="00AF2DFE">
              <w:rPr>
                <w:rFonts w:cs="Times New Roman"/>
                <w:lang w:val="en-GB"/>
              </w:rPr>
              <w:t xml:space="preserve"> 4a</w:t>
            </w:r>
            <w:r>
              <w:rPr>
                <w:rFonts w:cs="Times New Roman"/>
                <w:lang w:val="en-GB"/>
              </w:rPr>
              <w:t>)</w:t>
            </w:r>
          </w:p>
        </w:tc>
      </w:tr>
      <w:tr w:rsidR="00E03E1D" w14:paraId="1DB45D4C" w14:textId="77777777" w:rsidTr="00E444D4">
        <w:tc>
          <w:tcPr>
            <w:tcW w:w="2896" w:type="dxa"/>
          </w:tcPr>
          <w:p w14:paraId="3EE6DE07" w14:textId="77777777" w:rsidR="00E03E1D" w:rsidRDefault="00E03E1D" w:rsidP="00E03E1D">
            <w:pPr>
              <w:jc w:val="left"/>
              <w:rPr>
                <w:rFonts w:cs="Times New Roman"/>
                <w:i/>
                <w:lang w:val="en-GB"/>
              </w:rPr>
            </w:pPr>
            <w:r>
              <w:rPr>
                <w:rFonts w:cs="Times New Roman"/>
                <w:i/>
                <w:lang w:val="en-GB"/>
              </w:rPr>
              <w:t>RETREAT</w:t>
            </w:r>
          </w:p>
        </w:tc>
        <w:tc>
          <w:tcPr>
            <w:tcW w:w="2496" w:type="dxa"/>
          </w:tcPr>
          <w:p w14:paraId="39E08DBB" w14:textId="77777777" w:rsidR="00E03E1D" w:rsidRPr="00EF1326" w:rsidRDefault="00E03E1D" w:rsidP="00E03E1D">
            <w:pPr>
              <w:jc w:val="left"/>
              <w:rPr>
                <w:rFonts w:cs="Times New Roman"/>
                <w:i/>
                <w:lang w:val="en-GB"/>
              </w:rPr>
            </w:pPr>
            <w:r>
              <w:rPr>
                <w:rFonts w:cs="Times New Roman"/>
                <w:i/>
                <w:lang w:val="en-GB"/>
              </w:rPr>
              <w:t>SPINUP</w:t>
            </w:r>
          </w:p>
        </w:tc>
        <w:tc>
          <w:tcPr>
            <w:tcW w:w="1297" w:type="dxa"/>
          </w:tcPr>
          <w:p w14:paraId="76AA1AF1" w14:textId="77777777" w:rsidR="00E03E1D" w:rsidRPr="00AF2DFE" w:rsidRDefault="00E03E1D" w:rsidP="00E03E1D">
            <w:pPr>
              <w:jc w:val="left"/>
              <w:rPr>
                <w:rFonts w:cs="Times New Roman"/>
                <w:lang w:val="en-GB"/>
              </w:rPr>
            </w:pPr>
            <w:r>
              <w:rPr>
                <w:rFonts w:cs="Times New Roman"/>
                <w:lang w:val="en-GB"/>
              </w:rPr>
              <w:t>26 ka BP + 1.5 K</w:t>
            </w:r>
          </w:p>
        </w:tc>
        <w:tc>
          <w:tcPr>
            <w:tcW w:w="1008" w:type="dxa"/>
          </w:tcPr>
          <w:p w14:paraId="76D891D9" w14:textId="77777777" w:rsidR="00E03E1D" w:rsidRPr="00AF2DFE" w:rsidRDefault="00E03E1D" w:rsidP="00E03E1D">
            <w:pPr>
              <w:jc w:val="left"/>
              <w:rPr>
                <w:rFonts w:cs="Times New Roman"/>
                <w:lang w:val="en-GB"/>
              </w:rPr>
            </w:pPr>
            <w:r w:rsidRPr="00AF2DFE">
              <w:rPr>
                <w:rFonts w:cs="Times New Roman"/>
                <w:lang w:val="en-GB"/>
              </w:rPr>
              <w:t>47.1 m/y</w:t>
            </w:r>
          </w:p>
        </w:tc>
        <w:tc>
          <w:tcPr>
            <w:tcW w:w="1313" w:type="dxa"/>
          </w:tcPr>
          <w:p w14:paraId="6D602D3D" w14:textId="77777777" w:rsidR="00E03E1D" w:rsidRPr="00AF2DFE" w:rsidRDefault="00E03E1D" w:rsidP="00E03E1D">
            <w:pPr>
              <w:jc w:val="left"/>
              <w:rPr>
                <w:rFonts w:cs="Times New Roman"/>
                <w:lang w:val="en-GB"/>
              </w:rPr>
            </w:pPr>
            <w:r>
              <w:rPr>
                <w:rFonts w:cs="Times New Roman"/>
                <w:lang w:val="en-GB"/>
              </w:rPr>
              <w:t>Standard</w:t>
            </w:r>
          </w:p>
        </w:tc>
      </w:tr>
      <w:tr w:rsidR="00E03E1D" w14:paraId="7754D733" w14:textId="77777777" w:rsidTr="00E444D4">
        <w:tc>
          <w:tcPr>
            <w:tcW w:w="2896" w:type="dxa"/>
          </w:tcPr>
          <w:p w14:paraId="2B6BE1E3" w14:textId="77777777" w:rsidR="00E03E1D" w:rsidRDefault="00E03E1D" w:rsidP="00E03E1D">
            <w:pPr>
              <w:jc w:val="left"/>
              <w:rPr>
                <w:rFonts w:cs="Times New Roman"/>
                <w:i/>
                <w:lang w:val="en-GB"/>
              </w:rPr>
            </w:pPr>
            <w:r>
              <w:rPr>
                <w:rFonts w:cs="Times New Roman"/>
                <w:i/>
                <w:lang w:val="en-GB"/>
              </w:rPr>
              <w:t>RETREAT_ATMOS</w:t>
            </w:r>
          </w:p>
        </w:tc>
        <w:tc>
          <w:tcPr>
            <w:tcW w:w="2496" w:type="dxa"/>
          </w:tcPr>
          <w:p w14:paraId="64C57A8F" w14:textId="77777777" w:rsidR="00E03E1D" w:rsidRPr="00EF1326" w:rsidRDefault="00E03E1D" w:rsidP="00E03E1D">
            <w:pPr>
              <w:jc w:val="left"/>
              <w:rPr>
                <w:rFonts w:cs="Times New Roman"/>
                <w:i/>
                <w:lang w:val="en-GB"/>
              </w:rPr>
            </w:pPr>
            <w:r>
              <w:rPr>
                <w:rFonts w:cs="Times New Roman"/>
                <w:i/>
                <w:lang w:val="en-GB"/>
              </w:rPr>
              <w:t>SPINUP</w:t>
            </w:r>
          </w:p>
        </w:tc>
        <w:tc>
          <w:tcPr>
            <w:tcW w:w="1297" w:type="dxa"/>
          </w:tcPr>
          <w:p w14:paraId="06FBA987" w14:textId="77777777" w:rsidR="00E03E1D" w:rsidRPr="00AF2DFE" w:rsidRDefault="00E03E1D" w:rsidP="00E03E1D">
            <w:pPr>
              <w:jc w:val="left"/>
              <w:rPr>
                <w:rFonts w:cs="Times New Roman"/>
                <w:lang w:val="en-GB"/>
              </w:rPr>
            </w:pPr>
            <w:r>
              <w:rPr>
                <w:rFonts w:cs="Times New Roman"/>
                <w:lang w:val="en-GB"/>
              </w:rPr>
              <w:t>26 ka BP + 1.5 K</w:t>
            </w:r>
          </w:p>
        </w:tc>
        <w:tc>
          <w:tcPr>
            <w:tcW w:w="1008" w:type="dxa"/>
          </w:tcPr>
          <w:p w14:paraId="7FA350E5" w14:textId="77777777" w:rsidR="00E03E1D" w:rsidRPr="00AF2DFE" w:rsidRDefault="00E03E1D" w:rsidP="00E03E1D">
            <w:pPr>
              <w:jc w:val="left"/>
              <w:rPr>
                <w:rFonts w:cs="Times New Roman"/>
                <w:lang w:val="en-GB"/>
              </w:rPr>
            </w:pPr>
            <w:r w:rsidRPr="00AF2DFE">
              <w:rPr>
                <w:rFonts w:cs="Times New Roman"/>
                <w:lang w:val="en-GB"/>
              </w:rPr>
              <w:t>26.3 m/y</w:t>
            </w:r>
          </w:p>
        </w:tc>
        <w:tc>
          <w:tcPr>
            <w:tcW w:w="1313" w:type="dxa"/>
          </w:tcPr>
          <w:p w14:paraId="37634B84" w14:textId="77777777" w:rsidR="00E03E1D" w:rsidRPr="00AF2DFE" w:rsidRDefault="00E03E1D" w:rsidP="00E03E1D">
            <w:pPr>
              <w:jc w:val="left"/>
              <w:rPr>
                <w:rFonts w:cs="Times New Roman"/>
                <w:lang w:val="en-GB"/>
              </w:rPr>
            </w:pPr>
            <w:r>
              <w:rPr>
                <w:rFonts w:cs="Times New Roman"/>
                <w:lang w:val="en-GB"/>
              </w:rPr>
              <w:t>Standard</w:t>
            </w:r>
          </w:p>
        </w:tc>
      </w:tr>
      <w:tr w:rsidR="00E03E1D" w14:paraId="5A1A8709" w14:textId="77777777" w:rsidTr="00E444D4">
        <w:tc>
          <w:tcPr>
            <w:tcW w:w="2896" w:type="dxa"/>
          </w:tcPr>
          <w:p w14:paraId="0CD0ADFA" w14:textId="77777777" w:rsidR="00E03E1D" w:rsidRDefault="00E03E1D" w:rsidP="00E03E1D">
            <w:pPr>
              <w:jc w:val="left"/>
              <w:rPr>
                <w:rFonts w:cs="Times New Roman"/>
                <w:i/>
                <w:lang w:val="en-GB"/>
              </w:rPr>
            </w:pPr>
            <w:r>
              <w:rPr>
                <w:rFonts w:cs="Times New Roman"/>
                <w:i/>
                <w:lang w:val="en-GB"/>
              </w:rPr>
              <w:t>RETREAT_OCN</w:t>
            </w:r>
          </w:p>
        </w:tc>
        <w:tc>
          <w:tcPr>
            <w:tcW w:w="2496" w:type="dxa"/>
          </w:tcPr>
          <w:p w14:paraId="3CAEF968" w14:textId="77777777" w:rsidR="00E03E1D" w:rsidRPr="00EF1326" w:rsidRDefault="00E03E1D" w:rsidP="00E03E1D">
            <w:pPr>
              <w:jc w:val="left"/>
              <w:rPr>
                <w:rFonts w:cs="Times New Roman"/>
                <w:i/>
                <w:lang w:val="en-GB"/>
              </w:rPr>
            </w:pPr>
            <w:r>
              <w:rPr>
                <w:rFonts w:cs="Times New Roman"/>
                <w:i/>
                <w:lang w:val="en-GB"/>
              </w:rPr>
              <w:t>SPINUP</w:t>
            </w:r>
          </w:p>
        </w:tc>
        <w:tc>
          <w:tcPr>
            <w:tcW w:w="1297" w:type="dxa"/>
          </w:tcPr>
          <w:p w14:paraId="1FA2DD5B" w14:textId="77777777" w:rsidR="00E03E1D" w:rsidRPr="00AF2DFE" w:rsidRDefault="00E03E1D" w:rsidP="00E03E1D">
            <w:pPr>
              <w:jc w:val="left"/>
              <w:rPr>
                <w:rFonts w:cs="Times New Roman"/>
                <w:lang w:val="en-GB"/>
              </w:rPr>
            </w:pPr>
            <w:r>
              <w:rPr>
                <w:rFonts w:cs="Times New Roman"/>
                <w:lang w:val="en-GB"/>
              </w:rPr>
              <w:t>26 ka BP</w:t>
            </w:r>
          </w:p>
        </w:tc>
        <w:tc>
          <w:tcPr>
            <w:tcW w:w="1008" w:type="dxa"/>
          </w:tcPr>
          <w:p w14:paraId="4612A5FA" w14:textId="77777777" w:rsidR="00E03E1D" w:rsidRPr="00AF2DFE" w:rsidRDefault="00E03E1D" w:rsidP="00E03E1D">
            <w:pPr>
              <w:jc w:val="left"/>
              <w:rPr>
                <w:rFonts w:cs="Times New Roman"/>
                <w:lang w:val="en-GB"/>
              </w:rPr>
            </w:pPr>
            <w:r w:rsidRPr="00AF2DFE">
              <w:rPr>
                <w:rFonts w:cs="Times New Roman"/>
                <w:lang w:val="en-GB"/>
              </w:rPr>
              <w:t>47.1 m/y</w:t>
            </w:r>
          </w:p>
        </w:tc>
        <w:tc>
          <w:tcPr>
            <w:tcW w:w="1313" w:type="dxa"/>
          </w:tcPr>
          <w:p w14:paraId="54765152" w14:textId="77777777" w:rsidR="00E03E1D" w:rsidRPr="00AF2DFE" w:rsidRDefault="00E03E1D" w:rsidP="00E03E1D">
            <w:pPr>
              <w:jc w:val="left"/>
              <w:rPr>
                <w:rFonts w:cs="Times New Roman"/>
                <w:lang w:val="en-GB"/>
              </w:rPr>
            </w:pPr>
            <w:r>
              <w:rPr>
                <w:rFonts w:cs="Times New Roman"/>
                <w:lang w:val="en-GB"/>
              </w:rPr>
              <w:t>Standard</w:t>
            </w:r>
          </w:p>
        </w:tc>
      </w:tr>
      <w:tr w:rsidR="00E03E1D" w14:paraId="7335C411" w14:textId="77777777" w:rsidTr="00E444D4">
        <w:tc>
          <w:tcPr>
            <w:tcW w:w="2896" w:type="dxa"/>
          </w:tcPr>
          <w:p w14:paraId="46BB52B7" w14:textId="77777777" w:rsidR="00E03E1D" w:rsidRDefault="00E03E1D" w:rsidP="00E03E1D">
            <w:pPr>
              <w:jc w:val="left"/>
              <w:rPr>
                <w:rFonts w:cs="Times New Roman"/>
                <w:i/>
                <w:lang w:val="en-GB"/>
              </w:rPr>
            </w:pPr>
            <w:r>
              <w:rPr>
                <w:rFonts w:cs="Times New Roman"/>
                <w:i/>
                <w:lang w:val="en-GB"/>
              </w:rPr>
              <w:t>READVANCE_xxxxyr</w:t>
            </w:r>
          </w:p>
        </w:tc>
        <w:tc>
          <w:tcPr>
            <w:tcW w:w="2496" w:type="dxa"/>
          </w:tcPr>
          <w:p w14:paraId="1B610648" w14:textId="66EF1D67" w:rsidR="00E03E1D" w:rsidRPr="00AF2DFE" w:rsidRDefault="00E03E1D" w:rsidP="00E03E1D">
            <w:pPr>
              <w:jc w:val="left"/>
              <w:rPr>
                <w:rFonts w:cs="Times New Roman"/>
                <w:lang w:val="en-GB"/>
              </w:rPr>
            </w:pPr>
            <w:r>
              <w:rPr>
                <w:rFonts w:cs="Times New Roman"/>
                <w:lang w:val="en-GB"/>
              </w:rPr>
              <w:t>Retreat</w:t>
            </w:r>
            <w:r w:rsidRPr="00AF2DFE">
              <w:rPr>
                <w:rFonts w:cs="Times New Roman"/>
                <w:lang w:val="en-GB"/>
              </w:rPr>
              <w:t xml:space="preserve"> </w:t>
            </w:r>
            <w:r>
              <w:rPr>
                <w:rFonts w:cs="Times New Roman"/>
                <w:lang w:val="en-GB"/>
              </w:rPr>
              <w:t xml:space="preserve">at model year xxxx yr </w:t>
            </w:r>
            <w:r w:rsidRPr="00AF2DFE">
              <w:rPr>
                <w:rFonts w:cs="Times New Roman"/>
                <w:lang w:val="en-GB"/>
              </w:rPr>
              <w:t>(800</w:t>
            </w:r>
            <w:r>
              <w:rPr>
                <w:rFonts w:cs="Times New Roman"/>
                <w:lang w:val="en-GB"/>
              </w:rPr>
              <w:t xml:space="preserve"> </w:t>
            </w:r>
            <w:r w:rsidRPr="00AF2DFE">
              <w:rPr>
                <w:rFonts w:cs="Times New Roman"/>
                <w:lang w:val="en-GB"/>
              </w:rPr>
              <w:t>y</w:t>
            </w:r>
            <w:r>
              <w:rPr>
                <w:rFonts w:cs="Times New Roman"/>
                <w:lang w:val="en-GB"/>
              </w:rPr>
              <w:t>r</w:t>
            </w:r>
            <w:r w:rsidRPr="00AF2DFE">
              <w:rPr>
                <w:rFonts w:cs="Times New Roman"/>
                <w:lang w:val="en-GB"/>
              </w:rPr>
              <w:t xml:space="preserve"> intervals)</w:t>
            </w:r>
          </w:p>
        </w:tc>
        <w:tc>
          <w:tcPr>
            <w:tcW w:w="1297" w:type="dxa"/>
          </w:tcPr>
          <w:p w14:paraId="743ABCCA" w14:textId="77777777" w:rsidR="00E03E1D" w:rsidRPr="00AF2DFE" w:rsidRDefault="00E03E1D" w:rsidP="00E03E1D">
            <w:pPr>
              <w:jc w:val="left"/>
              <w:rPr>
                <w:rFonts w:cs="Times New Roman"/>
                <w:lang w:val="en-GB"/>
              </w:rPr>
            </w:pPr>
            <w:r>
              <w:rPr>
                <w:rFonts w:cs="Times New Roman"/>
                <w:lang w:val="en-GB"/>
              </w:rPr>
              <w:t>26 ka BP</w:t>
            </w:r>
          </w:p>
        </w:tc>
        <w:tc>
          <w:tcPr>
            <w:tcW w:w="1008" w:type="dxa"/>
          </w:tcPr>
          <w:p w14:paraId="0C6979E9" w14:textId="77777777" w:rsidR="00E03E1D" w:rsidRPr="00AF2DFE" w:rsidRDefault="00E03E1D" w:rsidP="00E03E1D">
            <w:pPr>
              <w:jc w:val="left"/>
              <w:rPr>
                <w:rFonts w:cs="Times New Roman"/>
                <w:lang w:val="en-GB"/>
              </w:rPr>
            </w:pPr>
            <w:r w:rsidRPr="00AF2DFE">
              <w:rPr>
                <w:rFonts w:cs="Times New Roman"/>
                <w:lang w:val="en-GB"/>
              </w:rPr>
              <w:t>26.3 m/y</w:t>
            </w:r>
          </w:p>
        </w:tc>
        <w:tc>
          <w:tcPr>
            <w:tcW w:w="1313" w:type="dxa"/>
          </w:tcPr>
          <w:p w14:paraId="4576A21B" w14:textId="77777777" w:rsidR="00E03E1D" w:rsidRPr="00AF2DFE" w:rsidRDefault="00E03E1D" w:rsidP="00E03E1D">
            <w:pPr>
              <w:jc w:val="left"/>
              <w:rPr>
                <w:rFonts w:cs="Times New Roman"/>
                <w:lang w:val="en-GB"/>
              </w:rPr>
            </w:pPr>
            <w:r>
              <w:rPr>
                <w:rFonts w:cs="Times New Roman"/>
                <w:lang w:val="en-GB"/>
              </w:rPr>
              <w:t>Standard</w:t>
            </w:r>
          </w:p>
        </w:tc>
      </w:tr>
      <w:tr w:rsidR="00E03E1D" w14:paraId="58BD1024" w14:textId="77777777" w:rsidTr="00E444D4">
        <w:tc>
          <w:tcPr>
            <w:tcW w:w="2896" w:type="dxa"/>
          </w:tcPr>
          <w:p w14:paraId="70AFAD58" w14:textId="77777777" w:rsidR="00E03E1D" w:rsidRDefault="00E03E1D" w:rsidP="00E03E1D">
            <w:pPr>
              <w:jc w:val="left"/>
              <w:rPr>
                <w:rFonts w:cs="Times New Roman"/>
                <w:i/>
                <w:lang w:val="en-GB"/>
              </w:rPr>
            </w:pPr>
            <w:r>
              <w:rPr>
                <w:rFonts w:cs="Times New Roman"/>
                <w:i/>
                <w:lang w:val="en-GB"/>
              </w:rPr>
              <w:t>RETREAT_NOSHELF</w:t>
            </w:r>
          </w:p>
        </w:tc>
        <w:tc>
          <w:tcPr>
            <w:tcW w:w="2496" w:type="dxa"/>
          </w:tcPr>
          <w:p w14:paraId="1E99FBD6" w14:textId="77777777" w:rsidR="00E03E1D" w:rsidRPr="00FF4211" w:rsidRDefault="00E03E1D" w:rsidP="00E03E1D">
            <w:pPr>
              <w:jc w:val="left"/>
              <w:rPr>
                <w:rFonts w:cs="Times New Roman"/>
                <w:i/>
                <w:lang w:val="en-GB"/>
              </w:rPr>
            </w:pPr>
            <w:r>
              <w:rPr>
                <w:rFonts w:cs="Times New Roman"/>
                <w:i/>
                <w:lang w:val="en-GB"/>
              </w:rPr>
              <w:t>SPINUP</w:t>
            </w:r>
          </w:p>
        </w:tc>
        <w:tc>
          <w:tcPr>
            <w:tcW w:w="1297" w:type="dxa"/>
          </w:tcPr>
          <w:p w14:paraId="145F05C1" w14:textId="77777777" w:rsidR="00E03E1D" w:rsidRPr="00AF2DFE" w:rsidRDefault="00E03E1D" w:rsidP="00E03E1D">
            <w:pPr>
              <w:jc w:val="left"/>
              <w:rPr>
                <w:rFonts w:cs="Times New Roman"/>
                <w:lang w:val="en-GB"/>
              </w:rPr>
            </w:pPr>
            <w:r>
              <w:rPr>
                <w:rFonts w:cs="Times New Roman"/>
                <w:lang w:val="en-GB"/>
              </w:rPr>
              <w:t>26 ka BP + 1.5 K</w:t>
            </w:r>
          </w:p>
        </w:tc>
        <w:tc>
          <w:tcPr>
            <w:tcW w:w="1008" w:type="dxa"/>
          </w:tcPr>
          <w:p w14:paraId="1C6C7BC1" w14:textId="77777777" w:rsidR="00E03E1D" w:rsidRPr="00AF2DFE" w:rsidRDefault="00E03E1D" w:rsidP="00E03E1D">
            <w:pPr>
              <w:jc w:val="left"/>
              <w:rPr>
                <w:rFonts w:cs="Times New Roman"/>
                <w:lang w:val="en-GB"/>
              </w:rPr>
            </w:pPr>
            <w:r w:rsidRPr="00AF2DFE">
              <w:rPr>
                <w:rFonts w:cs="Times New Roman"/>
                <w:lang w:val="en-GB"/>
              </w:rPr>
              <w:t>100 m/y</w:t>
            </w:r>
          </w:p>
        </w:tc>
        <w:tc>
          <w:tcPr>
            <w:tcW w:w="1313" w:type="dxa"/>
          </w:tcPr>
          <w:p w14:paraId="08D46F43" w14:textId="77777777" w:rsidR="00E03E1D" w:rsidRPr="00AF2DFE" w:rsidRDefault="00E03E1D" w:rsidP="00E03E1D">
            <w:pPr>
              <w:jc w:val="left"/>
              <w:rPr>
                <w:rFonts w:cs="Times New Roman"/>
                <w:lang w:val="en-GB"/>
              </w:rPr>
            </w:pPr>
            <w:r>
              <w:rPr>
                <w:rFonts w:cs="Times New Roman"/>
                <w:lang w:val="en-GB"/>
              </w:rPr>
              <w:t>Standard</w:t>
            </w:r>
          </w:p>
        </w:tc>
      </w:tr>
      <w:tr w:rsidR="00E03E1D" w14:paraId="68CDBB43" w14:textId="77777777" w:rsidTr="00E444D4">
        <w:tc>
          <w:tcPr>
            <w:tcW w:w="2896" w:type="dxa"/>
          </w:tcPr>
          <w:p w14:paraId="682114C2" w14:textId="77777777" w:rsidR="00E03E1D" w:rsidRDefault="00E03E1D" w:rsidP="00E03E1D">
            <w:pPr>
              <w:jc w:val="left"/>
              <w:rPr>
                <w:rFonts w:cs="Times New Roman"/>
                <w:i/>
                <w:lang w:val="en-GB"/>
              </w:rPr>
            </w:pPr>
            <w:r>
              <w:rPr>
                <w:rFonts w:cs="Times New Roman"/>
                <w:i/>
                <w:lang w:val="en-GB"/>
              </w:rPr>
              <w:t>READVANCE_COOLING</w:t>
            </w:r>
          </w:p>
        </w:tc>
        <w:tc>
          <w:tcPr>
            <w:tcW w:w="2496" w:type="dxa"/>
          </w:tcPr>
          <w:p w14:paraId="582654F4" w14:textId="18D9E3C5" w:rsidR="00E03E1D" w:rsidRPr="00AF2DFE" w:rsidRDefault="00CB5C43" w:rsidP="00E03E1D">
            <w:pPr>
              <w:jc w:val="left"/>
              <w:rPr>
                <w:rFonts w:cs="Times New Roman"/>
                <w:lang w:val="en-GB"/>
              </w:rPr>
            </w:pPr>
            <w:r>
              <w:rPr>
                <w:rFonts w:cs="Times New Roman"/>
                <w:lang w:val="en-GB"/>
              </w:rPr>
              <w:t xml:space="preserve">Stable </w:t>
            </w:r>
            <w:r w:rsidR="00E03E1D">
              <w:rPr>
                <w:rFonts w:cs="Times New Roman"/>
                <w:lang w:val="en-GB"/>
              </w:rPr>
              <w:t>READVANCE_8000yr</w:t>
            </w:r>
          </w:p>
        </w:tc>
        <w:tc>
          <w:tcPr>
            <w:tcW w:w="1297" w:type="dxa"/>
          </w:tcPr>
          <w:p w14:paraId="519605DB" w14:textId="77777777" w:rsidR="00E03E1D" w:rsidRDefault="00E03E1D" w:rsidP="00E03E1D">
            <w:pPr>
              <w:jc w:val="left"/>
              <w:rPr>
                <w:rFonts w:cs="Times New Roman"/>
                <w:lang w:val="en-GB"/>
              </w:rPr>
            </w:pPr>
            <w:r>
              <w:rPr>
                <w:rFonts w:cs="Times New Roman"/>
                <w:lang w:val="en-GB"/>
              </w:rPr>
              <w:t>26 ka BP – 1.5 K</w:t>
            </w:r>
          </w:p>
        </w:tc>
        <w:tc>
          <w:tcPr>
            <w:tcW w:w="1008" w:type="dxa"/>
          </w:tcPr>
          <w:p w14:paraId="036B8E03" w14:textId="77777777" w:rsidR="00E03E1D" w:rsidRPr="00AF2DFE" w:rsidRDefault="00E03E1D" w:rsidP="00E03E1D">
            <w:pPr>
              <w:jc w:val="left"/>
              <w:rPr>
                <w:rFonts w:cs="Times New Roman"/>
                <w:lang w:val="en-GB"/>
              </w:rPr>
            </w:pPr>
            <w:r>
              <w:rPr>
                <w:rFonts w:cs="Times New Roman"/>
                <w:lang w:val="en-GB"/>
              </w:rPr>
              <w:t>26.3 m/y</w:t>
            </w:r>
          </w:p>
        </w:tc>
        <w:tc>
          <w:tcPr>
            <w:tcW w:w="1313" w:type="dxa"/>
          </w:tcPr>
          <w:p w14:paraId="5033A856" w14:textId="77777777" w:rsidR="00E03E1D" w:rsidRDefault="00E03E1D" w:rsidP="00E03E1D">
            <w:pPr>
              <w:jc w:val="left"/>
              <w:rPr>
                <w:rFonts w:cs="Times New Roman"/>
                <w:lang w:val="en-GB"/>
              </w:rPr>
            </w:pPr>
            <w:r>
              <w:rPr>
                <w:rFonts w:cs="Times New Roman"/>
                <w:lang w:val="en-GB"/>
              </w:rPr>
              <w:t>Standard</w:t>
            </w:r>
          </w:p>
        </w:tc>
      </w:tr>
      <w:tr w:rsidR="00E03E1D" w14:paraId="3C570310" w14:textId="77777777" w:rsidTr="00E444D4">
        <w:tc>
          <w:tcPr>
            <w:tcW w:w="2896" w:type="dxa"/>
          </w:tcPr>
          <w:p w14:paraId="3795F93E" w14:textId="77777777" w:rsidR="00E03E1D" w:rsidRDefault="00E03E1D" w:rsidP="00E03E1D">
            <w:pPr>
              <w:jc w:val="left"/>
              <w:rPr>
                <w:rFonts w:cs="Times New Roman"/>
                <w:i/>
                <w:lang w:val="en-GB"/>
              </w:rPr>
            </w:pPr>
            <w:r>
              <w:rPr>
                <w:rFonts w:cs="Times New Roman"/>
                <w:i/>
                <w:lang w:val="en-GB"/>
              </w:rPr>
              <w:t>SPINUP_MAXFRICT</w:t>
            </w:r>
          </w:p>
        </w:tc>
        <w:tc>
          <w:tcPr>
            <w:tcW w:w="2496" w:type="dxa"/>
          </w:tcPr>
          <w:p w14:paraId="0F879BB0" w14:textId="77777777" w:rsidR="00E03E1D" w:rsidRDefault="00E03E1D" w:rsidP="00E03E1D">
            <w:pPr>
              <w:jc w:val="left"/>
              <w:rPr>
                <w:rFonts w:cs="Times New Roman"/>
                <w:lang w:val="en-GB"/>
              </w:rPr>
            </w:pPr>
            <w:r>
              <w:rPr>
                <w:rFonts w:cs="Times New Roman"/>
                <w:lang w:val="en-GB"/>
              </w:rPr>
              <w:t>Plastic thickness</w:t>
            </w:r>
          </w:p>
        </w:tc>
        <w:tc>
          <w:tcPr>
            <w:tcW w:w="1297" w:type="dxa"/>
          </w:tcPr>
          <w:p w14:paraId="606C7272" w14:textId="77777777" w:rsidR="00E03E1D" w:rsidRDefault="00E03E1D" w:rsidP="00E03E1D">
            <w:pPr>
              <w:jc w:val="left"/>
              <w:rPr>
                <w:rFonts w:cs="Times New Roman"/>
                <w:lang w:val="en-GB"/>
              </w:rPr>
            </w:pPr>
            <w:r>
              <w:rPr>
                <w:rFonts w:cs="Times New Roman"/>
                <w:lang w:val="en-GB"/>
              </w:rPr>
              <w:t>26 ka BP</w:t>
            </w:r>
          </w:p>
        </w:tc>
        <w:tc>
          <w:tcPr>
            <w:tcW w:w="1008" w:type="dxa"/>
          </w:tcPr>
          <w:p w14:paraId="3B6F7281" w14:textId="77777777" w:rsidR="00E03E1D" w:rsidRDefault="00E03E1D" w:rsidP="00E03E1D">
            <w:pPr>
              <w:jc w:val="left"/>
              <w:rPr>
                <w:rFonts w:cs="Times New Roman"/>
                <w:lang w:val="en-GB"/>
              </w:rPr>
            </w:pPr>
            <w:r>
              <w:rPr>
                <w:rFonts w:cs="Times New Roman"/>
                <w:lang w:val="en-GB"/>
              </w:rPr>
              <w:t>26.3 m/y</w:t>
            </w:r>
          </w:p>
        </w:tc>
        <w:tc>
          <w:tcPr>
            <w:tcW w:w="1313" w:type="dxa"/>
          </w:tcPr>
          <w:p w14:paraId="3D8898B4" w14:textId="77777777" w:rsidR="00E03E1D" w:rsidRDefault="00E03E1D" w:rsidP="00E03E1D">
            <w:pPr>
              <w:jc w:val="left"/>
              <w:rPr>
                <w:rFonts w:cs="Times New Roman"/>
                <w:lang w:val="en-GB"/>
              </w:rPr>
            </w:pPr>
            <w:r>
              <w:rPr>
                <w:rFonts w:cs="Times New Roman"/>
                <w:lang w:val="en-GB"/>
              </w:rPr>
              <w:t>Standard x 1.5</w:t>
            </w:r>
          </w:p>
        </w:tc>
      </w:tr>
      <w:tr w:rsidR="00E03E1D" w14:paraId="3B44402C" w14:textId="77777777" w:rsidTr="00E444D4">
        <w:tc>
          <w:tcPr>
            <w:tcW w:w="2896" w:type="dxa"/>
          </w:tcPr>
          <w:p w14:paraId="711D5633" w14:textId="77777777" w:rsidR="00E03E1D" w:rsidRDefault="00E03E1D" w:rsidP="00E03E1D">
            <w:pPr>
              <w:jc w:val="left"/>
              <w:rPr>
                <w:rFonts w:cs="Times New Roman"/>
                <w:i/>
                <w:lang w:val="en-GB"/>
              </w:rPr>
            </w:pPr>
            <w:r>
              <w:rPr>
                <w:rFonts w:cs="Times New Roman"/>
                <w:i/>
                <w:lang w:val="en-GB"/>
              </w:rPr>
              <w:t>SPINUP_MINFRICT</w:t>
            </w:r>
          </w:p>
        </w:tc>
        <w:tc>
          <w:tcPr>
            <w:tcW w:w="2496" w:type="dxa"/>
          </w:tcPr>
          <w:p w14:paraId="0D80D71F" w14:textId="77777777" w:rsidR="00E03E1D" w:rsidRDefault="00E03E1D" w:rsidP="00E03E1D">
            <w:pPr>
              <w:jc w:val="left"/>
              <w:rPr>
                <w:rFonts w:cs="Times New Roman"/>
                <w:lang w:val="en-GB"/>
              </w:rPr>
            </w:pPr>
            <w:r>
              <w:rPr>
                <w:rFonts w:cs="Times New Roman"/>
                <w:lang w:val="en-GB"/>
              </w:rPr>
              <w:t>Plastic thickness</w:t>
            </w:r>
          </w:p>
        </w:tc>
        <w:tc>
          <w:tcPr>
            <w:tcW w:w="1297" w:type="dxa"/>
          </w:tcPr>
          <w:p w14:paraId="22C965A7" w14:textId="77777777" w:rsidR="00E03E1D" w:rsidRDefault="00E03E1D" w:rsidP="00E03E1D">
            <w:pPr>
              <w:jc w:val="left"/>
              <w:rPr>
                <w:rFonts w:cs="Times New Roman"/>
                <w:lang w:val="en-GB"/>
              </w:rPr>
            </w:pPr>
            <w:r>
              <w:rPr>
                <w:rFonts w:cs="Times New Roman"/>
                <w:lang w:val="en-GB"/>
              </w:rPr>
              <w:t>26 ka BP</w:t>
            </w:r>
          </w:p>
        </w:tc>
        <w:tc>
          <w:tcPr>
            <w:tcW w:w="1008" w:type="dxa"/>
          </w:tcPr>
          <w:p w14:paraId="234D83A6" w14:textId="77777777" w:rsidR="00E03E1D" w:rsidRDefault="00E03E1D" w:rsidP="00E03E1D">
            <w:pPr>
              <w:jc w:val="left"/>
              <w:rPr>
                <w:rFonts w:cs="Times New Roman"/>
                <w:lang w:val="en-GB"/>
              </w:rPr>
            </w:pPr>
            <w:r>
              <w:rPr>
                <w:rFonts w:cs="Times New Roman"/>
                <w:lang w:val="en-GB"/>
              </w:rPr>
              <w:t>26.3 m/y</w:t>
            </w:r>
          </w:p>
        </w:tc>
        <w:tc>
          <w:tcPr>
            <w:tcW w:w="1313" w:type="dxa"/>
          </w:tcPr>
          <w:p w14:paraId="6FC031D2" w14:textId="77777777" w:rsidR="00E03E1D" w:rsidRDefault="00E03E1D" w:rsidP="00E03E1D">
            <w:pPr>
              <w:jc w:val="left"/>
              <w:rPr>
                <w:rFonts w:cs="Times New Roman"/>
                <w:lang w:val="en-GB"/>
              </w:rPr>
            </w:pPr>
            <w:r>
              <w:rPr>
                <w:rFonts w:cs="Times New Roman"/>
                <w:lang w:val="en-GB"/>
              </w:rPr>
              <w:t>Standard x 0.5</w:t>
            </w:r>
          </w:p>
        </w:tc>
      </w:tr>
    </w:tbl>
    <w:p w14:paraId="23F10E79" w14:textId="77777777" w:rsidR="00E03E1D" w:rsidRPr="00E03E1D" w:rsidRDefault="00E03E1D" w:rsidP="00E03E1D">
      <w:pPr>
        <w:rPr>
          <w:rFonts w:eastAsia="SimSun"/>
          <w:lang w:val="en-US" w:eastAsia="en-GB"/>
        </w:rPr>
      </w:pPr>
    </w:p>
    <w:p w14:paraId="0FAAB192" w14:textId="1C68B271" w:rsidR="00E03E1D" w:rsidRDefault="00E03E1D" w:rsidP="00E03E1D">
      <w:pPr>
        <w:pStyle w:val="Heading2"/>
        <w:rPr>
          <w:rFonts w:eastAsia="SimSun"/>
          <w:lang w:val="en-US" w:eastAsia="en-GB"/>
        </w:rPr>
      </w:pPr>
      <w:r>
        <w:rPr>
          <w:rFonts w:eastAsia="SimSun"/>
          <w:lang w:val="en-US" w:eastAsia="en-GB"/>
        </w:rPr>
        <w:lastRenderedPageBreak/>
        <w:t xml:space="preserve">2 </w:t>
      </w:r>
      <w:r w:rsidRPr="00E03E1D">
        <w:rPr>
          <w:rFonts w:eastAsia="SimSun"/>
        </w:rPr>
        <w:t>Supplementary</w:t>
      </w:r>
      <w:r>
        <w:rPr>
          <w:rFonts w:eastAsia="SimSun"/>
          <w:lang w:val="en-US" w:eastAsia="en-GB"/>
        </w:rPr>
        <w:t xml:space="preserve"> Figures</w:t>
      </w:r>
    </w:p>
    <w:p w14:paraId="592BA792" w14:textId="659EE494" w:rsidR="00E03E1D" w:rsidRPr="00E03E1D" w:rsidRDefault="00E03E1D" w:rsidP="00E03E1D">
      <w:pPr>
        <w:jc w:val="center"/>
        <w:rPr>
          <w:rFonts w:eastAsia="SimSun"/>
          <w:lang w:val="en-US" w:eastAsia="en-GB"/>
        </w:rPr>
      </w:pPr>
      <w:r>
        <w:rPr>
          <w:i/>
          <w:noProof/>
          <w:lang w:eastAsia="en-GB"/>
        </w:rPr>
        <w:drawing>
          <wp:inline distT="0" distB="0" distL="0" distR="0" wp14:anchorId="1BB3FC47" wp14:editId="62E1E298">
            <wp:extent cx="3722582" cy="2791936"/>
            <wp:effectExtent l="0" t="0" r="1143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ict.png"/>
                    <pic:cNvPicPr/>
                  </pic:nvPicPr>
                  <pic:blipFill>
                    <a:blip r:embed="rId9">
                      <a:extLst>
                        <a:ext uri="{28A0092B-C50C-407E-A947-70E740481C1C}">
                          <a14:useLocalDpi xmlns:a14="http://schemas.microsoft.com/office/drawing/2010/main" val="0"/>
                        </a:ext>
                      </a:extLst>
                    </a:blip>
                    <a:stretch>
                      <a:fillRect/>
                    </a:stretch>
                  </pic:blipFill>
                  <pic:spPr>
                    <a:xfrm>
                      <a:off x="0" y="0"/>
                      <a:ext cx="3735958" cy="2801968"/>
                    </a:xfrm>
                    <a:prstGeom prst="rect">
                      <a:avLst/>
                    </a:prstGeom>
                  </pic:spPr>
                </pic:pic>
              </a:graphicData>
            </a:graphic>
          </wp:inline>
        </w:drawing>
      </w:r>
    </w:p>
    <w:p w14:paraId="72BCE96B" w14:textId="77777777" w:rsidR="00CB5C43" w:rsidRDefault="00CB5C43" w:rsidP="00CB5C43">
      <w:pPr>
        <w:pStyle w:val="Caption"/>
        <w:rPr>
          <w:rFonts w:eastAsia="SimSun"/>
          <w:lang w:val="en-US" w:eastAsia="en-GB"/>
        </w:rPr>
      </w:pPr>
      <w:r w:rsidRPr="00E03E1D">
        <w:rPr>
          <w:rFonts w:eastAsia="SimSun"/>
          <w:lang w:val="en-US" w:eastAsia="en-GB"/>
        </w:rPr>
        <w:t>Figure S1: Sensitivity of equilibrium ice volume to bed friction. The original bed friction coefficient map used in SPINUP (100%, used in the experiments) is increased and decreased by 50%.</w:t>
      </w:r>
      <w:bookmarkStart w:id="0" w:name="_GoBack"/>
      <w:bookmarkEnd w:id="0"/>
    </w:p>
    <w:p w14:paraId="67581516" w14:textId="01D2771A" w:rsidR="00E03E1D" w:rsidRPr="00E03E1D" w:rsidRDefault="00E03E1D" w:rsidP="00E03E1D">
      <w:pPr>
        <w:jc w:val="center"/>
        <w:rPr>
          <w:rFonts w:eastAsia="SimSun"/>
          <w:lang w:val="en-US" w:eastAsia="en-GB"/>
        </w:rPr>
      </w:pPr>
      <w:r>
        <w:rPr>
          <w:i/>
          <w:noProof/>
          <w:lang w:eastAsia="en-GB"/>
        </w:rPr>
        <w:drawing>
          <wp:inline distT="0" distB="0" distL="0" distR="0" wp14:anchorId="022FDB1E" wp14:editId="00F5C9FF">
            <wp:extent cx="4437888" cy="3328416"/>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ab.png"/>
                    <pic:cNvPicPr/>
                  </pic:nvPicPr>
                  <pic:blipFill>
                    <a:blip r:embed="rId10">
                      <a:extLst>
                        <a:ext uri="{28A0092B-C50C-407E-A947-70E740481C1C}">
                          <a14:useLocalDpi xmlns:a14="http://schemas.microsoft.com/office/drawing/2010/main" val="0"/>
                        </a:ext>
                      </a:extLst>
                    </a:blip>
                    <a:stretch>
                      <a:fillRect/>
                    </a:stretch>
                  </pic:blipFill>
                  <pic:spPr>
                    <a:xfrm>
                      <a:off x="0" y="0"/>
                      <a:ext cx="4437888" cy="3328416"/>
                    </a:xfrm>
                    <a:prstGeom prst="rect">
                      <a:avLst/>
                    </a:prstGeom>
                  </pic:spPr>
                </pic:pic>
              </a:graphicData>
            </a:graphic>
          </wp:inline>
        </w:drawing>
      </w:r>
    </w:p>
    <w:p w14:paraId="74006699" w14:textId="77777777" w:rsidR="00CB5C43" w:rsidRDefault="00CB5C43" w:rsidP="00CB5C43">
      <w:pPr>
        <w:pStyle w:val="Caption"/>
        <w:rPr>
          <w:rFonts w:eastAsia="SimSun"/>
          <w:lang w:val="en-US" w:eastAsia="en-GB"/>
        </w:rPr>
      </w:pPr>
      <w:r w:rsidRPr="00E03E1D">
        <w:rPr>
          <w:rFonts w:eastAsia="SimSun"/>
          <w:lang w:val="en-US" w:eastAsia="en-GB"/>
        </w:rPr>
        <w:t>Figure S2: A comparison of the volume response when simulating deglaciation of the ice stream with only Surface Mass Balance forcing (RETREAT_ATMOS), only ocean forcing (RETREAT_OCN), and both forcings combined (RETREAT).</w:t>
      </w:r>
    </w:p>
    <w:p w14:paraId="591CB647" w14:textId="32C6C6EC" w:rsidR="00E03E1D" w:rsidRPr="00E03E1D" w:rsidRDefault="00E03E1D" w:rsidP="00E03E1D">
      <w:pPr>
        <w:jc w:val="center"/>
        <w:rPr>
          <w:rFonts w:eastAsia="SimSun"/>
          <w:lang w:val="en-US" w:eastAsia="en-GB"/>
        </w:rPr>
      </w:pPr>
      <w:r>
        <w:rPr>
          <w:noProof/>
          <w:lang w:eastAsia="en-GB"/>
        </w:rPr>
        <w:lastRenderedPageBreak/>
        <w:drawing>
          <wp:inline distT="0" distB="0" distL="0" distR="0" wp14:anchorId="0ECA0E59" wp14:editId="78953229">
            <wp:extent cx="4437888" cy="3328416"/>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ol.png"/>
                    <pic:cNvPicPr/>
                  </pic:nvPicPr>
                  <pic:blipFill>
                    <a:blip r:embed="rId11">
                      <a:extLst>
                        <a:ext uri="{28A0092B-C50C-407E-A947-70E740481C1C}">
                          <a14:useLocalDpi xmlns:a14="http://schemas.microsoft.com/office/drawing/2010/main" val="0"/>
                        </a:ext>
                      </a:extLst>
                    </a:blip>
                    <a:stretch>
                      <a:fillRect/>
                    </a:stretch>
                  </pic:blipFill>
                  <pic:spPr>
                    <a:xfrm>
                      <a:off x="0" y="0"/>
                      <a:ext cx="4437888" cy="3328416"/>
                    </a:xfrm>
                    <a:prstGeom prst="rect">
                      <a:avLst/>
                    </a:prstGeom>
                  </pic:spPr>
                </pic:pic>
              </a:graphicData>
            </a:graphic>
          </wp:inline>
        </w:drawing>
      </w:r>
    </w:p>
    <w:p w14:paraId="663A411D" w14:textId="2503AB93" w:rsidR="00CB5C43" w:rsidRDefault="00CB5C43" w:rsidP="00CB5C43">
      <w:pPr>
        <w:pStyle w:val="Caption"/>
        <w:rPr>
          <w:rFonts w:eastAsia="SimSun"/>
          <w:lang w:val="en-US" w:eastAsia="en-GB"/>
        </w:rPr>
      </w:pPr>
      <w:r w:rsidRPr="00E03E1D">
        <w:rPr>
          <w:rFonts w:eastAsia="SimSun"/>
          <w:lang w:val="en-US" w:eastAsia="en-GB"/>
        </w:rPr>
        <w:t xml:space="preserve">Figure S3: The original result of experiment READVANCE, with the </w:t>
      </w:r>
      <w:r>
        <w:rPr>
          <w:rFonts w:eastAsia="SimSun"/>
          <w:lang w:val="en-US" w:eastAsia="en-GB"/>
        </w:rPr>
        <w:t>READVANCE_COOLING experiment (dotted line). This experiment starts from the “collapsed” state and is forced with a constant surface air temperature from 26 ka BP cooled by 1.5K, causing recovery from the collapsed state (dotted line).</w:t>
      </w:r>
    </w:p>
    <w:p w14:paraId="647767A8" w14:textId="6175DEFE" w:rsidR="00DF2E58" w:rsidRPr="00DF2E58" w:rsidRDefault="002634F2" w:rsidP="00DF2E58">
      <w:pPr>
        <w:pStyle w:val="Caption"/>
        <w:rPr>
          <w:rFonts w:eastAsia="SimSun"/>
          <w:i/>
          <w:lang w:val="en-US" w:eastAsia="en-GB"/>
        </w:rPr>
      </w:pPr>
      <w:r>
        <w:rPr>
          <w:rFonts w:eastAsia="SimSun"/>
          <w:lang w:val="en-US" w:eastAsia="en-GB"/>
        </w:rPr>
        <w:t>Video</w:t>
      </w:r>
      <w:r w:rsidR="00DF2E58">
        <w:rPr>
          <w:rFonts w:eastAsia="SimSun"/>
          <w:lang w:val="en-US" w:eastAsia="en-GB"/>
        </w:rPr>
        <w:t xml:space="preserve"> S4: Animation of ice velocity during experiment </w:t>
      </w:r>
      <w:r w:rsidR="00DF2E58">
        <w:rPr>
          <w:rFonts w:eastAsia="SimSun"/>
          <w:i/>
          <w:lang w:val="en-US" w:eastAsia="en-GB"/>
        </w:rPr>
        <w:t>RETREAT.</w:t>
      </w:r>
      <w:r w:rsidR="000E302F">
        <w:rPr>
          <w:rFonts w:eastAsia="SimSun"/>
          <w:i/>
          <w:lang w:val="en-US" w:eastAsia="en-GB"/>
        </w:rPr>
        <w:t xml:space="preserve"> [Attached file Minch_retreat.mp4]</w:t>
      </w:r>
    </w:p>
    <w:p w14:paraId="31D67FE8" w14:textId="11D963DF" w:rsidR="00E03E1D" w:rsidRPr="00E03E1D" w:rsidRDefault="00AD0A7A" w:rsidP="00E03E1D">
      <w:pPr>
        <w:pStyle w:val="Heading2"/>
        <w:rPr>
          <w:rFonts w:eastAsia="SimSun"/>
          <w:lang w:val="en-US" w:eastAsia="en-GB"/>
        </w:rPr>
      </w:pPr>
      <w:r>
        <w:rPr>
          <w:rFonts w:eastAsia="SimSun"/>
          <w:lang w:val="en-US" w:eastAsia="en-GB"/>
        </w:rPr>
        <w:t>3 Basal</w:t>
      </w:r>
      <w:r w:rsidR="00E03E1D">
        <w:rPr>
          <w:rFonts w:eastAsia="SimSun"/>
          <w:lang w:val="en-US" w:eastAsia="en-GB"/>
        </w:rPr>
        <w:t xml:space="preserve"> Friction Coefficient Map</w:t>
      </w:r>
    </w:p>
    <w:p w14:paraId="6A8BA4FC" w14:textId="448FC5F7" w:rsidR="00E03E1D" w:rsidRDefault="001B0A2C" w:rsidP="00E03E1D">
      <w:r>
        <w:t xml:space="preserve">The basal friction coefficient map was produced first by grouping regions of similar bed friction, then prescribing values to those regions based on bed friction coefficient values from other studies. </w:t>
      </w:r>
      <w:r w:rsidR="00E03E1D">
        <w:t xml:space="preserve">Regions of similar basal friction were classified into the following five groups based on observable surface morphological features in satellite imagery and DEMs, and from the glacial map of Britain </w:t>
      </w:r>
      <w:r w:rsidR="00514E7A">
        <w:fldChar w:fldCharType="begin" w:fldLock="1"/>
      </w:r>
      <w:r w:rsidR="00514E7A">
        <w:instrText>ADDIN CSL_CITATION { "citationItems" : [ { "id" : "ITEM-1", "itemData" : { "DOI" : "10.1111/bor.12273", "ISSN" : "03009483", "author" : [ { "dropping-particle" : "", "family" : "Clark", "given" : "Chris D.", "non-dropping-particle" : "", "parse-names" : false, "suffix" : "" }, { "dropping-particle" : "", "family" : "Ely", "given" : "Jeremy C.", "non-dropping-particle" : "", "parse-names" : false, "suffix" : "" }, { "dropping-particle" : "", "family" : "Greenwood", "given" : "Sarah L.", "non-dropping-particle" : "", "parse-names" : false, "suffix" : "" }, { "dropping-particle" : "", "family" : "Hughes", "given" : "Anna L. C.", "non-dropping-particle" : "", "parse-names" : false, "suffix" : "" }, { "dropping-particle" : "", "family" : "Meehan", "given" : "Robert", "non-dropping-particle" : "", "parse-names" : false, "suffix" : "" }, { "dropping-particle" : "", "family" : "Barr", "given" : "Iestyn D.", "non-dropping-particle" : "", "parse-names" : false, "suffix" : "" }, { "dropping-particle" : "", "family" : "Bateman", "given" : "Mark D.", "non-dropping-particle" : "", "parse-names" : false, "suffix" : "" }, { "dropping-particle" : "", "family" : "Bradwell", "given" : "Tom", "non-dropping-particle" : "", "parse-names" : false, "suffix" : "" }, { "dropping-particle" : "", "family" : "Doole", "given" : "Jenny", "non-dropping-particle" : "", "parse-names" : false, "suffix" : "" }, { "dropping-particle" : "", "family" : "Evans", "given" : "David J. A.", "non-dropping-particle" : "", "parse-names" : false, "suffix" : "" }, { "dropping-particle" : "", "family" : "Jordan", "given" : "Colm J.", "non-dropping-particle" : "", "parse-names" : false, "suffix" : "" }, { "dropping-particle" : "", "family" : "Monteys", "given" : "Xavier", "non-dropping-particle" : "", "parse-names" : false, "suffix" : "" }, { "dropping-particle" : "", "family" : "Pellicer", "given" : "Xavier M.", "non-dropping-particle" : "", "parse-names" : false, "suffix" : "" }, { "dropping-particle" : "", "family" : "Sheehy", "given" : "Michael", "non-dropping-particle" : "", "parse-names" : false, "suffix" : "" } ], "container-title" : "Boreas", "id" : "ITEM-1", "issue" : "1", "issued" : { "date-parts" : [ [ "2018", "1", "1" ] ] }, "page" : "11-e8", "title" : "BRITICE Glacial Map, version 2: a map and GIS database of glacial landforms of the last British-Irish Ice Sheet", "type" : "article-journal", "volume" : "47" }, "uris" : [ "http://www.mendeley.com/documents/?uuid=7beae1c6-30f2-341e-95c0-8de04ade00c9" ] } ], "mendeley" : { "formattedCitation" : "(Clark et al., 2018)", "plainTextFormattedCitation" : "(Clark et al., 2018)", "previouslyFormattedCitation" : "(Clark et al., 2018)" }, "properties" : { "noteIndex" : 0 }, "schema" : "https://github.com/citation-style-language/schema/raw/master/csl-citation.json" }</w:instrText>
      </w:r>
      <w:r w:rsidR="00514E7A">
        <w:fldChar w:fldCharType="separate"/>
      </w:r>
      <w:r w:rsidR="00514E7A" w:rsidRPr="00514E7A">
        <w:rPr>
          <w:noProof/>
        </w:rPr>
        <w:t>(Clark et al., 2018)</w:t>
      </w:r>
      <w:r w:rsidR="00514E7A">
        <w:fldChar w:fldCharType="end"/>
      </w:r>
      <w:r w:rsidR="00E03E1D">
        <w:t xml:space="preserve"> as well as reference to superficial geology maps:</w:t>
      </w:r>
    </w:p>
    <w:p w14:paraId="3A9E6833" w14:textId="1F9181A4" w:rsidR="00E03E1D" w:rsidRDefault="00E03E1D" w:rsidP="00E03E1D">
      <w:pPr>
        <w:pStyle w:val="ListParagraph"/>
        <w:numPr>
          <w:ilvl w:val="0"/>
          <w:numId w:val="15"/>
        </w:numPr>
      </w:pPr>
      <w:r>
        <w:t xml:space="preserve">Palaeo-ice streams, based upon the presence of mega-scale lineations, convergent flow-patterns from subglacial bedforms and previous reporting in the literature </w:t>
      </w:r>
      <w:r w:rsidR="00514E7A">
        <w:fldChar w:fldCharType="begin" w:fldLock="1"/>
      </w:r>
      <w:r w:rsidR="00514E7A">
        <w:instrText>ADDIN CSL_CITATION { "citationItems" : [ { "id" : "ITEM-1", "itemData" : { "DOI" : "10.3189/172756499781821625", "ISSN" : "0260-3055", "abstract" : "&lt;p&gt;Ice streams are critical regulatory mechanisms in contemporary ice sheets. It has been inferred that they also had a significant effect on the dynamics of former ice sheets. Subsequently, many people have invoked their widespread occurrence from a variety of formerly glaciated areas. Hypothesised locations, however, have often outweighed meaningful evidence. This paper addresses the problem, using the characteristics of contemporary ice streams as a basis for their identification from former ice-sheet beds. A convergence of knowledge gained from contemporary ice-stream research, coupled with theories of glacial geomorphology, allows several geomorphological criteria to be identified as suggestive signatures of ice-stream activity. It is envisaged that the geomorphological criteria developed here will introduce a more objective approach to the study of former ice streams. The criteria are used to construct conceptual land-system models of the beds of former ice streams, and it is hoped such models can provide an observational template upon which hypotheses of former ice streams can be better based.&lt;/p&gt;", "author" : [ { "dropping-particle" : "", "family" : "Stokes", "given" : "Chris R.", "non-dropping-particle" : "", "parse-names" : false, "suffix" : "" }, { "dropping-particle" : "", "family" : "Clark", "given" : "Chris D.", "non-dropping-particle" : "", "parse-names" : false, "suffix" : "" } ], "container-title" : "Annals of Glaciology", "id" : "ITEM-1", "issued" : { "date-parts" : [ [ "1999", "9", "14" ] ] }, "page" : "67-74", "publisher" : "Cambridge University Press", "title" : "Geomorphological criteria for identifying Pleistocene ice streams", "type" : "article-journal", "volume" : "28" }, "uris" : [ "http://www.mendeley.com/documents/?uuid=0a8a0351-13af-3ed7-9085-da135bc17744" ] }, { "id" : "ITEM-2", "itemData" : { "DOI" : "10.1016/J.EARSCIREV.2015.01.011", "ISSN" : "0012-8252", "abstract" : "This paper presents a comprehensive review and synthesis of ice streams in the Laurentide Ice Sheet (LIS) based on a new mapping inventory that includes previously hypothesised ice streams and includes a concerted effort to search for others from across the entire ice sheet bed. The inventory includes 117 ice streams, which have been identified based on a variety of evidence including their bedform imprint, large-scale geomorphology/topography, till properties, and ice rafted debris in ocean sediment records. Despite uncertainty in identifying ice streams in hard bedrock areas, it is unlikely that any major ice streams have been missed. During the Last Glacial Maximum, Laurentide ice streams formed a drainage pattern that bears close resemblance to the present day velocity patterns in modern ice sheets. Large ice streams had extensive onset zones and were fed by multiple tributaries and, where ice drained through regions of high relief, the spacing of ice streams shows a degree of spatial self-organisation which has hitherto not been recognised. Topography exerted a primary control on the location of ice streams, but there were large areas along the western and southern margin of the ice sheet where the bed was composed of weaker sedimentary bedrock, and where networks of ice streams switched direction repeatedly and probably over short time scales. As the ice sheet retreated onto its low relief interior, several ice streams show no correspondence with topography or underlying geology, perhaps facilitated by localised build-up of pressurised subglacial meltwater. They differed from most other ice stream tracks in having much lower length-to-width ratios and have no modern analogues. There have been very few attempts to date the initiation and cessation of ice streams, but it is clear that ice streams switched on and off during deglaciation, rather than maintaining the same trajectory as the ice margin retreated. We provide a first order estimate of changes in ice stream activity during deglaciation and show that around 30% of the margin was drained by ice streams at the LGM (similar to that for present day Antarctic ice sheets), but this decreases to 15% and 12% at 12calka BP and 10calka BP, respectively. The extent to which these changes in the ice stream drainage network represent a simple and predictable readjustment to a changing mass balance driven by climate, or internal ice dynamical feedbacks unrelated to climate (or both) is largely unknown and\u2026", "author" : [ { "dropping-particle" : "", "family" : "Margold", "given" : "Martin", "non-dropping-particle" : "", "parse-names" : false, "suffix" : "" }, { "dropping-particle" : "", "family" : "Stokes", "given" : "Chris R.", "non-dropping-particle" : "", "parse-names" : false, "suffix" : "" }, { "dropping-particle" : "", "family" : "Clark", "given" : "Chris D.", "non-dropping-particle" : "", "parse-names" : false, "suffix" : "" } ], "container-title" : "Earth-Science Reviews", "id" : "ITEM-2", "issued" : { "date-parts" : [ [ "2015", "4", "1" ] ] }, "page" : "117-146", "publisher" : "Elsevier", "title" : "Ice streams in the Laurentide Ice Sheet: Identification, characteristics and comparison to modern ice sheets", "type" : "article-journal", "volume" : "143" }, "uris" : [ "http://www.mendeley.com/documents/?uuid=cdbb216d-f89e-39f5-988f-077f5f9f347e" ] } ], "mendeley" : { "formattedCitation" : "(Margold et al., 2015; Stokes and Clark, 1999)", "plainTextFormattedCitation" : "(Margold et al., 2015; Stokes and Clark, 1999)", "previouslyFormattedCitation" : "(Margold et al., 2015; Stokes and Clark, 1999)" }, "properties" : { "noteIndex" : 0 }, "schema" : "https://github.com/citation-style-language/schema/raw/master/csl-citation.json" }</w:instrText>
      </w:r>
      <w:r w:rsidR="00514E7A">
        <w:fldChar w:fldCharType="separate"/>
      </w:r>
      <w:r w:rsidR="00514E7A" w:rsidRPr="00514E7A">
        <w:rPr>
          <w:noProof/>
        </w:rPr>
        <w:t>(Margold et al., 2015; Stokes and Clark, 1999)</w:t>
      </w:r>
      <w:r w:rsidR="00514E7A">
        <w:fldChar w:fldCharType="end"/>
      </w:r>
      <w:r>
        <w:t>. As the main outlets for ice-flow and fastest flow regions, these regions were assigned the lowest basal friction</w:t>
      </w:r>
      <w:r w:rsidR="00A52C50">
        <w:t xml:space="preserve"> coefficients</w:t>
      </w:r>
      <w:r>
        <w:t>.</w:t>
      </w:r>
    </w:p>
    <w:p w14:paraId="6F38D671" w14:textId="6B72A880" w:rsidR="00E03E1D" w:rsidRDefault="00E03E1D" w:rsidP="00E03E1D">
      <w:pPr>
        <w:pStyle w:val="ListParagraph"/>
        <w:numPr>
          <w:ilvl w:val="0"/>
          <w:numId w:val="15"/>
        </w:numPr>
      </w:pPr>
      <w:r>
        <w:t xml:space="preserve">Marine-sediments, defined based upon geological maps and the presence of characteristic marine bedforms. These are highly deformable, and were therefore assigned the second lowest basal friction </w:t>
      </w:r>
      <w:r w:rsidR="00A52C50">
        <w:t xml:space="preserve">coefficient </w:t>
      </w:r>
      <w:r>
        <w:t>values.</w:t>
      </w:r>
    </w:p>
    <w:p w14:paraId="7A7421B7" w14:textId="50B2D189" w:rsidR="00E03E1D" w:rsidRDefault="00E03E1D" w:rsidP="00E03E1D">
      <w:pPr>
        <w:pStyle w:val="ListParagraph"/>
        <w:numPr>
          <w:ilvl w:val="0"/>
          <w:numId w:val="15"/>
        </w:numPr>
      </w:pPr>
      <w:r>
        <w:t xml:space="preserve">Subglacial lineations or drumlins, identified on the glacial map and elevation models. Lineations are thought to represent reasonably fast ice flow and be the product of subglacial bed deformation </w:t>
      </w:r>
      <w:r w:rsidR="00514E7A">
        <w:fldChar w:fldCharType="begin" w:fldLock="1"/>
      </w:r>
      <w:r w:rsidR="00514E7A">
        <w:instrText>ADDIN CSL_CITATION { "citationItems" : [ { "id" : "ITEM-1", "itemData" : { "DOI" : "10.1016/J.GEOMORPH.2016.01.001", "ISSN" : "0169-555X", "abstract" : "Understanding the evolution of the ice-bed interface is fundamentally important for gaining insight into the dynamics of ice masses and how subglacial landforms are created. However, the formation of the suite of landforms generated at this boundary \u2014 subglacial bedforms \u2014 is a contentious issue that is yet to be fully resolved. Bedforms formed in aeolian, fluvial, and marine environments either belong to separate morphological populations or are thought to represent a continuum of forms generated by the same governing processes. For subglacial bedforms, a size and shape continuum has been hypothesised, yet it has not been fully tested. Here we analyse the largest data set of subglacial bedform size and shape measurements ever collated (96,900 bedforms). Our results show that flutes form a distinct population of narrow bedforms. However, no clear distinction was found between drumlins and megascale glacial lineations (MSGLs), which form a continuum of subglacial lineations. A continuum of subglacial ribs also exists, with no clear size or shape distinctions indicating separate populations. Furthermore, an underreported class of bedform with no clear orientation to ice flow (quasi-circular bedforms) overlaps with the ribbed and lineation continua and typically occurs in spatial transition zones between the two, potentially merging these three bedform types into a larger continuum.", "author" : [ { "dropping-particle" : "", "family" : "Ely", "given" : "Jeremy C.", "non-dropping-particle" : "", "parse-names" : false, "suffix" : "" }, { "dropping-particle" : "", "family" : "Clark", "given" : "Chris D.", "non-dropping-particle" : "", "parse-names" : false, "suffix" : "" }, { "dropping-particle" : "", "family" : "Spagnolo", "given" : "Matteo", "non-dropping-particle" : "", "parse-names" : false, "suffix" : "" }, { "dropping-particle" : "", "family" : "Stokes", "given" : "Chris R.", "non-dropping-particle" : "", "parse-names" : false, "suffix" : "" }, { "dropping-particle" : "", "family" : "Greenwood", "given" : "Sarah L.", "non-dropping-particle" : "", "parse-names" : false, "suffix" : "" }, { "dropping-particle" : "", "family" : "Hughes", "given" : "Anna L.C.", "non-dropping-particle" : "", "parse-names" : false, "suffix" : "" }, { "dropping-particle" : "", "family" : "Dunlop", "given" : "Paul", "non-dropping-particle" : "", "parse-names" : false, "suffix" : "" }, { "dropping-particle" : "", "family" : "Hess", "given" : "Dale", "non-dropping-particle" : "", "parse-names" : false, "suffix" : "" } ], "container-title" : "Geomorphology", "id" : "ITEM-1", "issued" : { "date-parts" : [ [ "2016", "3", "15" ] ] }, "page" : "108-119", "publisher" : "Elsevier", "title" : "Do subglacial bedforms comprise a size and shape continuum?", "type" : "article-journal", "volume" : "257" }, "uris" : [ "http://www.mendeley.com/documents/?uuid=b7b774f9-d9f6-3943-bcd8-43e49314ca3f" ] } ], "mendeley" : { "formattedCitation" : "(Ely et al., 2016)", "plainTextFormattedCitation" : "(Ely et al., 2016)", "previouslyFormattedCitation" : "(Ely et al., 2016)" }, "properties" : { "noteIndex" : 0 }, "schema" : "https://github.com/citation-style-language/schema/raw/master/csl-citation.json" }</w:instrText>
      </w:r>
      <w:r w:rsidR="00514E7A">
        <w:fldChar w:fldCharType="separate"/>
      </w:r>
      <w:r w:rsidR="00514E7A" w:rsidRPr="00514E7A">
        <w:rPr>
          <w:noProof/>
        </w:rPr>
        <w:t>(Ely et al., 2016)</w:t>
      </w:r>
      <w:r w:rsidR="00514E7A">
        <w:fldChar w:fldCharType="end"/>
      </w:r>
      <w:r>
        <w:t>. These were a</w:t>
      </w:r>
      <w:r w:rsidR="001323B5">
        <w:t>ssigned an intermediate</w:t>
      </w:r>
      <w:r>
        <w:t xml:space="preserve"> basal friction</w:t>
      </w:r>
      <w:r w:rsidR="001323B5">
        <w:t xml:space="preserve"> coefficent</w:t>
      </w:r>
      <w:r>
        <w:t>. </w:t>
      </w:r>
    </w:p>
    <w:p w14:paraId="6079010E" w14:textId="2EC1BEFC" w:rsidR="00E03E1D" w:rsidRDefault="00E03E1D" w:rsidP="00E03E1D">
      <w:pPr>
        <w:pStyle w:val="ListParagraph"/>
        <w:numPr>
          <w:ilvl w:val="0"/>
          <w:numId w:val="15"/>
        </w:numPr>
      </w:pPr>
      <w:r>
        <w:lastRenderedPageBreak/>
        <w:t xml:space="preserve">Subglacial ribs or ribbed moraines, identified from previous mapping and elevation models. These are thought to be characteristic of slower ice flow than that of subglacial lineations, and were thus assigned a higher </w:t>
      </w:r>
      <w:r w:rsidR="004C629E">
        <w:t>basal friction coefficient.</w:t>
      </w:r>
    </w:p>
    <w:p w14:paraId="240AC62C" w14:textId="00C9634C" w:rsidR="00E03E1D" w:rsidRDefault="00E03E1D" w:rsidP="00E03E1D">
      <w:pPr>
        <w:pStyle w:val="ListParagraph"/>
        <w:numPr>
          <w:ilvl w:val="0"/>
          <w:numId w:val="15"/>
        </w:numPr>
        <w:rPr>
          <w:lang w:eastAsia="en-GB"/>
        </w:rPr>
      </w:pPr>
      <w:r>
        <w:t>Exposed bedrock was assigned the highest basal friction</w:t>
      </w:r>
      <w:r w:rsidR="004C629E">
        <w:t xml:space="preserve"> coefficient</w:t>
      </w:r>
      <w:r>
        <w:t>. These high roughness areas were defined by their characteristic surface morphology and from geological maps.</w:t>
      </w:r>
    </w:p>
    <w:p w14:paraId="37714B8B" w14:textId="77777777" w:rsidR="00E03E1D" w:rsidRDefault="00E03E1D" w:rsidP="009F32F8">
      <w:pPr>
        <w:ind w:firstLine="720"/>
      </w:pPr>
    </w:p>
    <w:p w14:paraId="710EE30A" w14:textId="47FA40F4" w:rsidR="00514E7A" w:rsidRPr="00514E7A" w:rsidRDefault="00514E7A" w:rsidP="00514E7A">
      <w:pPr>
        <w:widowControl w:val="0"/>
        <w:autoSpaceDE w:val="0"/>
        <w:autoSpaceDN w:val="0"/>
        <w:adjustRightInd w:val="0"/>
        <w:spacing w:after="200" w:line="240" w:lineRule="auto"/>
        <w:ind w:left="480" w:hanging="480"/>
        <w:rPr>
          <w:noProof/>
          <w:sz w:val="18"/>
        </w:rPr>
      </w:pPr>
      <w:r>
        <w:fldChar w:fldCharType="begin" w:fldLock="1"/>
      </w:r>
      <w:r>
        <w:instrText xml:space="preserve">ADDIN Mendeley Bibliography CSL_BIBLIOGRAPHY </w:instrText>
      </w:r>
      <w:r>
        <w:fldChar w:fldCharType="separate"/>
      </w:r>
      <w:r w:rsidRPr="00514E7A">
        <w:rPr>
          <w:noProof/>
          <w:sz w:val="18"/>
        </w:rPr>
        <w:t>Clark, C.D., Ely, J.C., Greenwood, S.L., Hughes, A.L.C., Meehan, R., Barr, I.D., Bateman, M.D., Bradwell, T., Doole, J., Evans, D.J.A., Jordan, C.J., Monteys, X., Pellicer, X.M., Sheehy, M., 2018. BRITICE Glacial Map, version 2: a map and GIS database of glacial landforms of the last British-Irish Ice Sheet. Boreas 47, 11-e8. doi:10.1111/bor.12273</w:t>
      </w:r>
    </w:p>
    <w:p w14:paraId="6328DDA8" w14:textId="77777777" w:rsidR="00514E7A" w:rsidRPr="00514E7A" w:rsidRDefault="00514E7A" w:rsidP="00514E7A">
      <w:pPr>
        <w:widowControl w:val="0"/>
        <w:autoSpaceDE w:val="0"/>
        <w:autoSpaceDN w:val="0"/>
        <w:adjustRightInd w:val="0"/>
        <w:spacing w:after="200" w:line="240" w:lineRule="auto"/>
        <w:ind w:left="480" w:hanging="480"/>
        <w:rPr>
          <w:noProof/>
          <w:sz w:val="18"/>
        </w:rPr>
      </w:pPr>
      <w:r w:rsidRPr="00514E7A">
        <w:rPr>
          <w:noProof/>
          <w:sz w:val="18"/>
        </w:rPr>
        <w:t>Ely, J.C., Clark, C.D., Spagnolo, M., Stokes, C.R., Greenwood, S.L., Hughes, A.L.C., Dunlop, P., Hess, D., 2016. Do subglacial bedforms comprise a size and shape continuum? Geomorphology 257, 108–119. doi:10.1016/J.GEOMORPH.2016.01.001</w:t>
      </w:r>
    </w:p>
    <w:p w14:paraId="31CC6CF2" w14:textId="77777777" w:rsidR="00514E7A" w:rsidRPr="00514E7A" w:rsidRDefault="00514E7A" w:rsidP="00514E7A">
      <w:pPr>
        <w:widowControl w:val="0"/>
        <w:autoSpaceDE w:val="0"/>
        <w:autoSpaceDN w:val="0"/>
        <w:adjustRightInd w:val="0"/>
        <w:spacing w:after="200" w:line="240" w:lineRule="auto"/>
        <w:ind w:left="480" w:hanging="480"/>
        <w:rPr>
          <w:noProof/>
          <w:sz w:val="18"/>
        </w:rPr>
      </w:pPr>
      <w:r w:rsidRPr="00514E7A">
        <w:rPr>
          <w:noProof/>
          <w:sz w:val="18"/>
        </w:rPr>
        <w:t>Margold, M., Stokes, C.R., Clark, C.D., 2015. Ice streams in the Laurentide Ice Sheet: Identification, characteristics and comparison to modern ice sheets. Earth-Science Rev. 143, 117–146. doi:10.1016/J.EARSCIREV.2015.01.011</w:t>
      </w:r>
    </w:p>
    <w:p w14:paraId="0A7C3D82" w14:textId="77777777" w:rsidR="00514E7A" w:rsidRPr="00514E7A" w:rsidRDefault="00514E7A" w:rsidP="00514E7A">
      <w:pPr>
        <w:widowControl w:val="0"/>
        <w:autoSpaceDE w:val="0"/>
        <w:autoSpaceDN w:val="0"/>
        <w:adjustRightInd w:val="0"/>
        <w:spacing w:after="200" w:line="240" w:lineRule="auto"/>
        <w:ind w:left="480" w:hanging="480"/>
        <w:rPr>
          <w:noProof/>
          <w:sz w:val="18"/>
        </w:rPr>
      </w:pPr>
      <w:r w:rsidRPr="00514E7A">
        <w:rPr>
          <w:noProof/>
          <w:sz w:val="18"/>
        </w:rPr>
        <w:t>Stokes, C.R., Clark, C.D., 1999. Geomorphological criteria for identifying Pleistocene ice streams. Ann. Glaciol. 28, 67–74. doi:10.3189/172756499781821625</w:t>
      </w:r>
    </w:p>
    <w:p w14:paraId="6D2FB210" w14:textId="25B91228" w:rsidR="00FC16A4" w:rsidRPr="00C21260" w:rsidRDefault="00514E7A">
      <w:pPr>
        <w:pStyle w:val="Caption"/>
      </w:pPr>
      <w:r>
        <w:fldChar w:fldCharType="end"/>
      </w:r>
    </w:p>
    <w:sectPr w:rsidR="00FC16A4" w:rsidRPr="00C21260" w:rsidSect="0091791F">
      <w:footerReference w:type="default" r:id="rId12"/>
      <w:pgSz w:w="11907" w:h="13608"/>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4F534" w14:textId="77777777" w:rsidR="0096237B" w:rsidRDefault="0096237B" w:rsidP="006D0C96">
      <w:pPr>
        <w:spacing w:line="240" w:lineRule="auto"/>
      </w:pPr>
      <w:r>
        <w:separator/>
      </w:r>
    </w:p>
  </w:endnote>
  <w:endnote w:type="continuationSeparator" w:id="0">
    <w:p w14:paraId="37957DE3" w14:textId="77777777" w:rsidR="0096237B" w:rsidRDefault="0096237B" w:rsidP="006D0C96">
      <w:pPr>
        <w:spacing w:line="240" w:lineRule="auto"/>
      </w:pPr>
      <w:r>
        <w:continuationSeparator/>
      </w:r>
    </w:p>
  </w:endnote>
  <w:endnote w:type="continuationNotice" w:id="1">
    <w:p w14:paraId="36257CB7" w14:textId="77777777" w:rsidR="0096237B" w:rsidRDefault="009623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1"/>
    <w:family w:val="roman"/>
    <w:notTrueType/>
    <w:pitch w:val="variable"/>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788171"/>
      <w:docPartObj>
        <w:docPartGallery w:val="Page Numbers (Bottom of Page)"/>
        <w:docPartUnique/>
      </w:docPartObj>
    </w:sdtPr>
    <w:sdtEndPr>
      <w:rPr>
        <w:noProof/>
      </w:rPr>
    </w:sdtEndPr>
    <w:sdtContent>
      <w:p w14:paraId="7E8FA248" w14:textId="60D9D63A" w:rsidR="0062018A" w:rsidRDefault="0062018A">
        <w:pPr>
          <w:pStyle w:val="Footer"/>
          <w:jc w:val="center"/>
        </w:pPr>
        <w:r>
          <w:fldChar w:fldCharType="begin"/>
        </w:r>
        <w:r>
          <w:instrText xml:space="preserve"> PAGE   \* MERGEFORMAT </w:instrText>
        </w:r>
        <w:r>
          <w:fldChar w:fldCharType="separate"/>
        </w:r>
        <w:r w:rsidR="00546334">
          <w:rPr>
            <w:noProof/>
          </w:rPr>
          <w:t>4</w:t>
        </w:r>
        <w:r>
          <w:rPr>
            <w:noProof/>
          </w:rPr>
          <w:fldChar w:fldCharType="end"/>
        </w:r>
      </w:p>
    </w:sdtContent>
  </w:sdt>
  <w:p w14:paraId="67519BE4" w14:textId="77777777" w:rsidR="0062018A" w:rsidRDefault="006201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077E3" w14:textId="77777777" w:rsidR="0096237B" w:rsidRDefault="0096237B" w:rsidP="006D0C96">
      <w:pPr>
        <w:spacing w:line="240" w:lineRule="auto"/>
      </w:pPr>
      <w:r>
        <w:separator/>
      </w:r>
    </w:p>
  </w:footnote>
  <w:footnote w:type="continuationSeparator" w:id="0">
    <w:p w14:paraId="57FEB731" w14:textId="77777777" w:rsidR="0096237B" w:rsidRDefault="0096237B" w:rsidP="006D0C96">
      <w:pPr>
        <w:spacing w:line="240" w:lineRule="auto"/>
      </w:pPr>
      <w:r>
        <w:continuationSeparator/>
      </w:r>
    </w:p>
  </w:footnote>
  <w:footnote w:type="continuationNotice" w:id="1">
    <w:p w14:paraId="2115BC02" w14:textId="77777777" w:rsidR="0096237B" w:rsidRDefault="0096237B">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835B6"/>
    <w:multiLevelType w:val="hybridMultilevel"/>
    <w:tmpl w:val="868E9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4A765A"/>
    <w:multiLevelType w:val="hybridMultilevel"/>
    <w:tmpl w:val="39A0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57270B"/>
    <w:multiLevelType w:val="hybridMultilevel"/>
    <w:tmpl w:val="034E0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B534D6"/>
    <w:multiLevelType w:val="hybridMultilevel"/>
    <w:tmpl w:val="60C61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7601A8"/>
    <w:multiLevelType w:val="hybridMultilevel"/>
    <w:tmpl w:val="859AF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10D16"/>
    <w:multiLevelType w:val="hybridMultilevel"/>
    <w:tmpl w:val="48F6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C00557"/>
    <w:multiLevelType w:val="multilevel"/>
    <w:tmpl w:val="FAF42C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3584B3D"/>
    <w:multiLevelType w:val="hybridMultilevel"/>
    <w:tmpl w:val="57F256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5414A3"/>
    <w:multiLevelType w:val="hybridMultilevel"/>
    <w:tmpl w:val="CF0EE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962CC6"/>
    <w:multiLevelType w:val="hybridMultilevel"/>
    <w:tmpl w:val="FCAE6D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A06A20"/>
    <w:multiLevelType w:val="hybridMultilevel"/>
    <w:tmpl w:val="737E47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284494"/>
    <w:multiLevelType w:val="multilevel"/>
    <w:tmpl w:val="611867D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2"/>
  </w:num>
  <w:num w:numId="3">
    <w:abstractNumId w:val="1"/>
  </w:num>
  <w:num w:numId="4">
    <w:abstractNumId w:val="3"/>
  </w:num>
  <w:num w:numId="5">
    <w:abstractNumId w:val="5"/>
  </w:num>
  <w:num w:numId="6">
    <w:abstractNumId w:val="8"/>
  </w:num>
  <w:num w:numId="7">
    <w:abstractNumId w:val="13"/>
  </w:num>
  <w:num w:numId="8">
    <w:abstractNumId w:val="6"/>
  </w:num>
  <w:num w:numId="9">
    <w:abstractNumId w:val="7"/>
  </w:num>
  <w:num w:numId="10">
    <w:abstractNumId w:val="11"/>
  </w:num>
  <w:num w:numId="11">
    <w:abstractNumId w:val="12"/>
  </w:num>
  <w:num w:numId="12">
    <w:abstractNumId w:val="10"/>
  </w:num>
  <w:num w:numId="13">
    <w:abstractNumId w:val="4"/>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13"/>
    <w:rsid w:val="0000469A"/>
    <w:rsid w:val="00005E66"/>
    <w:rsid w:val="000121EB"/>
    <w:rsid w:val="00015D7E"/>
    <w:rsid w:val="00017D9F"/>
    <w:rsid w:val="00017DEA"/>
    <w:rsid w:val="0002146D"/>
    <w:rsid w:val="00024C63"/>
    <w:rsid w:val="00026719"/>
    <w:rsid w:val="0002694D"/>
    <w:rsid w:val="00026BEF"/>
    <w:rsid w:val="00030955"/>
    <w:rsid w:val="00033A32"/>
    <w:rsid w:val="0003465E"/>
    <w:rsid w:val="00043691"/>
    <w:rsid w:val="0004710D"/>
    <w:rsid w:val="00047AF0"/>
    <w:rsid w:val="00047CCC"/>
    <w:rsid w:val="00047F1E"/>
    <w:rsid w:val="0005690A"/>
    <w:rsid w:val="000577B5"/>
    <w:rsid w:val="000618A3"/>
    <w:rsid w:val="00062BB1"/>
    <w:rsid w:val="00063B77"/>
    <w:rsid w:val="00065617"/>
    <w:rsid w:val="00065733"/>
    <w:rsid w:val="000658B0"/>
    <w:rsid w:val="00075F28"/>
    <w:rsid w:val="00075F30"/>
    <w:rsid w:val="000769B9"/>
    <w:rsid w:val="00077537"/>
    <w:rsid w:val="00080B5F"/>
    <w:rsid w:val="000819F7"/>
    <w:rsid w:val="00086571"/>
    <w:rsid w:val="00092965"/>
    <w:rsid w:val="00092F98"/>
    <w:rsid w:val="000A1B66"/>
    <w:rsid w:val="000A2941"/>
    <w:rsid w:val="000A3C7E"/>
    <w:rsid w:val="000A5CD9"/>
    <w:rsid w:val="000A7823"/>
    <w:rsid w:val="000B166E"/>
    <w:rsid w:val="000B224B"/>
    <w:rsid w:val="000B326E"/>
    <w:rsid w:val="000B3D8A"/>
    <w:rsid w:val="000B428D"/>
    <w:rsid w:val="000B67C1"/>
    <w:rsid w:val="000B6F61"/>
    <w:rsid w:val="000B7526"/>
    <w:rsid w:val="000C3A9F"/>
    <w:rsid w:val="000C3B46"/>
    <w:rsid w:val="000C43BA"/>
    <w:rsid w:val="000C553F"/>
    <w:rsid w:val="000C7826"/>
    <w:rsid w:val="000D3B62"/>
    <w:rsid w:val="000D476B"/>
    <w:rsid w:val="000D70C5"/>
    <w:rsid w:val="000E0618"/>
    <w:rsid w:val="000E27A6"/>
    <w:rsid w:val="000E302F"/>
    <w:rsid w:val="000E44DC"/>
    <w:rsid w:val="000F02CA"/>
    <w:rsid w:val="000F3775"/>
    <w:rsid w:val="000F37AB"/>
    <w:rsid w:val="000F508E"/>
    <w:rsid w:val="000F7473"/>
    <w:rsid w:val="00101EDC"/>
    <w:rsid w:val="00102EE5"/>
    <w:rsid w:val="00104B46"/>
    <w:rsid w:val="001063EF"/>
    <w:rsid w:val="001074C5"/>
    <w:rsid w:val="00110387"/>
    <w:rsid w:val="0011047D"/>
    <w:rsid w:val="0011063D"/>
    <w:rsid w:val="00111C95"/>
    <w:rsid w:val="00116465"/>
    <w:rsid w:val="001164EC"/>
    <w:rsid w:val="0012210D"/>
    <w:rsid w:val="00122CC8"/>
    <w:rsid w:val="00123400"/>
    <w:rsid w:val="001248D7"/>
    <w:rsid w:val="001323B5"/>
    <w:rsid w:val="001326C8"/>
    <w:rsid w:val="001356B2"/>
    <w:rsid w:val="00143EA9"/>
    <w:rsid w:val="0014510E"/>
    <w:rsid w:val="00145145"/>
    <w:rsid w:val="00146C80"/>
    <w:rsid w:val="001472FA"/>
    <w:rsid w:val="0015253D"/>
    <w:rsid w:val="00154120"/>
    <w:rsid w:val="001553A6"/>
    <w:rsid w:val="0015679E"/>
    <w:rsid w:val="001570A8"/>
    <w:rsid w:val="001604C5"/>
    <w:rsid w:val="00160B72"/>
    <w:rsid w:val="001619FA"/>
    <w:rsid w:val="00163C50"/>
    <w:rsid w:val="00165D1F"/>
    <w:rsid w:val="0017169A"/>
    <w:rsid w:val="00174812"/>
    <w:rsid w:val="00174A36"/>
    <w:rsid w:val="00174E54"/>
    <w:rsid w:val="00175660"/>
    <w:rsid w:val="00176289"/>
    <w:rsid w:val="001800B6"/>
    <w:rsid w:val="00180FAD"/>
    <w:rsid w:val="00181E09"/>
    <w:rsid w:val="00181E54"/>
    <w:rsid w:val="0018609C"/>
    <w:rsid w:val="0018650B"/>
    <w:rsid w:val="00187255"/>
    <w:rsid w:val="00187336"/>
    <w:rsid w:val="001873A2"/>
    <w:rsid w:val="00192C70"/>
    <w:rsid w:val="0019471D"/>
    <w:rsid w:val="0019684B"/>
    <w:rsid w:val="001A0986"/>
    <w:rsid w:val="001A0D6C"/>
    <w:rsid w:val="001A3930"/>
    <w:rsid w:val="001A3A3D"/>
    <w:rsid w:val="001A529C"/>
    <w:rsid w:val="001A6201"/>
    <w:rsid w:val="001B0273"/>
    <w:rsid w:val="001B0A2C"/>
    <w:rsid w:val="001B0EE9"/>
    <w:rsid w:val="001B2B3F"/>
    <w:rsid w:val="001B4F89"/>
    <w:rsid w:val="001B5ECE"/>
    <w:rsid w:val="001C49C0"/>
    <w:rsid w:val="001C58CB"/>
    <w:rsid w:val="001C5EB9"/>
    <w:rsid w:val="001C65F2"/>
    <w:rsid w:val="001C732E"/>
    <w:rsid w:val="001D0418"/>
    <w:rsid w:val="001D12B3"/>
    <w:rsid w:val="001D21D4"/>
    <w:rsid w:val="001D2693"/>
    <w:rsid w:val="001E1EAA"/>
    <w:rsid w:val="001F0387"/>
    <w:rsid w:val="001F27AC"/>
    <w:rsid w:val="001F2D97"/>
    <w:rsid w:val="001F5CD8"/>
    <w:rsid w:val="00200E29"/>
    <w:rsid w:val="002020DA"/>
    <w:rsid w:val="00202556"/>
    <w:rsid w:val="002038D0"/>
    <w:rsid w:val="00203F92"/>
    <w:rsid w:val="00205977"/>
    <w:rsid w:val="002102EE"/>
    <w:rsid w:val="00210389"/>
    <w:rsid w:val="002107C7"/>
    <w:rsid w:val="00210BA0"/>
    <w:rsid w:val="00211074"/>
    <w:rsid w:val="002124FA"/>
    <w:rsid w:val="00221893"/>
    <w:rsid w:val="002219DF"/>
    <w:rsid w:val="00222614"/>
    <w:rsid w:val="0022466B"/>
    <w:rsid w:val="002273ED"/>
    <w:rsid w:val="002312BE"/>
    <w:rsid w:val="00232353"/>
    <w:rsid w:val="00232491"/>
    <w:rsid w:val="00233006"/>
    <w:rsid w:val="002368D4"/>
    <w:rsid w:val="002378B9"/>
    <w:rsid w:val="002432B5"/>
    <w:rsid w:val="0024480D"/>
    <w:rsid w:val="00244F79"/>
    <w:rsid w:val="00245860"/>
    <w:rsid w:val="002470E6"/>
    <w:rsid w:val="00252D52"/>
    <w:rsid w:val="00257C62"/>
    <w:rsid w:val="00261669"/>
    <w:rsid w:val="002634F2"/>
    <w:rsid w:val="00263E13"/>
    <w:rsid w:val="00266068"/>
    <w:rsid w:val="00270510"/>
    <w:rsid w:val="00275068"/>
    <w:rsid w:val="002750FD"/>
    <w:rsid w:val="002761C4"/>
    <w:rsid w:val="00276A8D"/>
    <w:rsid w:val="00276C54"/>
    <w:rsid w:val="00277009"/>
    <w:rsid w:val="002773AD"/>
    <w:rsid w:val="002776A5"/>
    <w:rsid w:val="00277764"/>
    <w:rsid w:val="00280CC8"/>
    <w:rsid w:val="00283707"/>
    <w:rsid w:val="002904CB"/>
    <w:rsid w:val="002918DF"/>
    <w:rsid w:val="00295712"/>
    <w:rsid w:val="00296647"/>
    <w:rsid w:val="002969E0"/>
    <w:rsid w:val="002A0112"/>
    <w:rsid w:val="002A0915"/>
    <w:rsid w:val="002A1D77"/>
    <w:rsid w:val="002A2DAB"/>
    <w:rsid w:val="002A5174"/>
    <w:rsid w:val="002B018B"/>
    <w:rsid w:val="002B24C7"/>
    <w:rsid w:val="002B27B2"/>
    <w:rsid w:val="002B42E9"/>
    <w:rsid w:val="002B4DA3"/>
    <w:rsid w:val="002C0389"/>
    <w:rsid w:val="002C0D71"/>
    <w:rsid w:val="002C2D84"/>
    <w:rsid w:val="002C2DEF"/>
    <w:rsid w:val="002C4A25"/>
    <w:rsid w:val="002C7B4A"/>
    <w:rsid w:val="002D44A6"/>
    <w:rsid w:val="002D523D"/>
    <w:rsid w:val="002D602C"/>
    <w:rsid w:val="002E1146"/>
    <w:rsid w:val="002F0AA0"/>
    <w:rsid w:val="002F214B"/>
    <w:rsid w:val="002F3C26"/>
    <w:rsid w:val="002F7F4D"/>
    <w:rsid w:val="00304CD5"/>
    <w:rsid w:val="00307C2F"/>
    <w:rsid w:val="00311119"/>
    <w:rsid w:val="003118C8"/>
    <w:rsid w:val="003120E4"/>
    <w:rsid w:val="003129D4"/>
    <w:rsid w:val="00312C78"/>
    <w:rsid w:val="00313278"/>
    <w:rsid w:val="00314CD1"/>
    <w:rsid w:val="00314F60"/>
    <w:rsid w:val="003157F9"/>
    <w:rsid w:val="003178FD"/>
    <w:rsid w:val="00321BFC"/>
    <w:rsid w:val="003270BC"/>
    <w:rsid w:val="003279E8"/>
    <w:rsid w:val="00327BA8"/>
    <w:rsid w:val="003306F6"/>
    <w:rsid w:val="00331ED5"/>
    <w:rsid w:val="00331F66"/>
    <w:rsid w:val="00332E84"/>
    <w:rsid w:val="00333444"/>
    <w:rsid w:val="00333804"/>
    <w:rsid w:val="00333ADE"/>
    <w:rsid w:val="00334FA2"/>
    <w:rsid w:val="00335050"/>
    <w:rsid w:val="00341A99"/>
    <w:rsid w:val="00343264"/>
    <w:rsid w:val="003435A6"/>
    <w:rsid w:val="00344B62"/>
    <w:rsid w:val="00344C6F"/>
    <w:rsid w:val="00345813"/>
    <w:rsid w:val="00345973"/>
    <w:rsid w:val="0034788C"/>
    <w:rsid w:val="003478B6"/>
    <w:rsid w:val="00350A5C"/>
    <w:rsid w:val="00352288"/>
    <w:rsid w:val="00352315"/>
    <w:rsid w:val="003550D8"/>
    <w:rsid w:val="0035570F"/>
    <w:rsid w:val="003648CD"/>
    <w:rsid w:val="00367019"/>
    <w:rsid w:val="00371C27"/>
    <w:rsid w:val="00373CED"/>
    <w:rsid w:val="003750E9"/>
    <w:rsid w:val="00376142"/>
    <w:rsid w:val="003765EF"/>
    <w:rsid w:val="0038048A"/>
    <w:rsid w:val="00381C6C"/>
    <w:rsid w:val="00383174"/>
    <w:rsid w:val="00383D1C"/>
    <w:rsid w:val="0038500E"/>
    <w:rsid w:val="00386D04"/>
    <w:rsid w:val="00390840"/>
    <w:rsid w:val="00396F0B"/>
    <w:rsid w:val="003A2218"/>
    <w:rsid w:val="003A4FB4"/>
    <w:rsid w:val="003A59F6"/>
    <w:rsid w:val="003B0CD9"/>
    <w:rsid w:val="003B1274"/>
    <w:rsid w:val="003B38EF"/>
    <w:rsid w:val="003B4DB0"/>
    <w:rsid w:val="003B6FDC"/>
    <w:rsid w:val="003B7F5A"/>
    <w:rsid w:val="003C065F"/>
    <w:rsid w:val="003C07DA"/>
    <w:rsid w:val="003C6969"/>
    <w:rsid w:val="003D1521"/>
    <w:rsid w:val="003D39FB"/>
    <w:rsid w:val="003D3E4B"/>
    <w:rsid w:val="003D5288"/>
    <w:rsid w:val="003E0697"/>
    <w:rsid w:val="003E2E5C"/>
    <w:rsid w:val="003F37B8"/>
    <w:rsid w:val="003F4F48"/>
    <w:rsid w:val="003F5B48"/>
    <w:rsid w:val="0040025A"/>
    <w:rsid w:val="00401EF7"/>
    <w:rsid w:val="0040251B"/>
    <w:rsid w:val="00402AA4"/>
    <w:rsid w:val="00403F71"/>
    <w:rsid w:val="00412579"/>
    <w:rsid w:val="004139BF"/>
    <w:rsid w:val="004160EE"/>
    <w:rsid w:val="0041622E"/>
    <w:rsid w:val="004162E9"/>
    <w:rsid w:val="00423EC6"/>
    <w:rsid w:val="0042496A"/>
    <w:rsid w:val="004260ED"/>
    <w:rsid w:val="00431197"/>
    <w:rsid w:val="00433126"/>
    <w:rsid w:val="004340A9"/>
    <w:rsid w:val="00440190"/>
    <w:rsid w:val="00443B73"/>
    <w:rsid w:val="00446EE8"/>
    <w:rsid w:val="004471C8"/>
    <w:rsid w:val="00450DB9"/>
    <w:rsid w:val="004513E9"/>
    <w:rsid w:val="00455B8E"/>
    <w:rsid w:val="00460AFC"/>
    <w:rsid w:val="00463568"/>
    <w:rsid w:val="00463667"/>
    <w:rsid w:val="00463A11"/>
    <w:rsid w:val="0046474A"/>
    <w:rsid w:val="00465285"/>
    <w:rsid w:val="00466122"/>
    <w:rsid w:val="00470591"/>
    <w:rsid w:val="004710EE"/>
    <w:rsid w:val="0047629F"/>
    <w:rsid w:val="004773EE"/>
    <w:rsid w:val="0048087F"/>
    <w:rsid w:val="00482EAC"/>
    <w:rsid w:val="004832D2"/>
    <w:rsid w:val="00485D9A"/>
    <w:rsid w:val="00486843"/>
    <w:rsid w:val="004874B9"/>
    <w:rsid w:val="00491D6D"/>
    <w:rsid w:val="0049341C"/>
    <w:rsid w:val="00497239"/>
    <w:rsid w:val="004979E1"/>
    <w:rsid w:val="004A077C"/>
    <w:rsid w:val="004A3A15"/>
    <w:rsid w:val="004A5B3E"/>
    <w:rsid w:val="004A7B18"/>
    <w:rsid w:val="004B09BA"/>
    <w:rsid w:val="004B1A12"/>
    <w:rsid w:val="004B208F"/>
    <w:rsid w:val="004B361E"/>
    <w:rsid w:val="004B3FC4"/>
    <w:rsid w:val="004C06C2"/>
    <w:rsid w:val="004C3A0C"/>
    <w:rsid w:val="004C629E"/>
    <w:rsid w:val="004D0F1A"/>
    <w:rsid w:val="004D312A"/>
    <w:rsid w:val="004D357B"/>
    <w:rsid w:val="004D3DAB"/>
    <w:rsid w:val="004D71F8"/>
    <w:rsid w:val="004E0E31"/>
    <w:rsid w:val="004E1887"/>
    <w:rsid w:val="004E4D6C"/>
    <w:rsid w:val="004E76FE"/>
    <w:rsid w:val="004F02C1"/>
    <w:rsid w:val="004F52E4"/>
    <w:rsid w:val="004F6D6D"/>
    <w:rsid w:val="004F7883"/>
    <w:rsid w:val="004F7DB1"/>
    <w:rsid w:val="00501C1E"/>
    <w:rsid w:val="005028F3"/>
    <w:rsid w:val="00503CC3"/>
    <w:rsid w:val="00503CCD"/>
    <w:rsid w:val="005042BA"/>
    <w:rsid w:val="005050BC"/>
    <w:rsid w:val="00505260"/>
    <w:rsid w:val="00506055"/>
    <w:rsid w:val="00506EB3"/>
    <w:rsid w:val="00510166"/>
    <w:rsid w:val="0051063E"/>
    <w:rsid w:val="00510BC1"/>
    <w:rsid w:val="0051138C"/>
    <w:rsid w:val="00514E7A"/>
    <w:rsid w:val="005172CC"/>
    <w:rsid w:val="0052192F"/>
    <w:rsid w:val="00522689"/>
    <w:rsid w:val="005240FF"/>
    <w:rsid w:val="00525A54"/>
    <w:rsid w:val="00533459"/>
    <w:rsid w:val="005405CD"/>
    <w:rsid w:val="005419C5"/>
    <w:rsid w:val="0054228D"/>
    <w:rsid w:val="00544546"/>
    <w:rsid w:val="005449BF"/>
    <w:rsid w:val="0054593A"/>
    <w:rsid w:val="00545F65"/>
    <w:rsid w:val="00546334"/>
    <w:rsid w:val="005502A1"/>
    <w:rsid w:val="0055217B"/>
    <w:rsid w:val="0055246B"/>
    <w:rsid w:val="00556D9B"/>
    <w:rsid w:val="00561695"/>
    <w:rsid w:val="00562FDA"/>
    <w:rsid w:val="00564213"/>
    <w:rsid w:val="00564CB1"/>
    <w:rsid w:val="00566F26"/>
    <w:rsid w:val="00567E6F"/>
    <w:rsid w:val="00567F48"/>
    <w:rsid w:val="005702E2"/>
    <w:rsid w:val="00570A5E"/>
    <w:rsid w:val="0057134D"/>
    <w:rsid w:val="00571CD0"/>
    <w:rsid w:val="005730AE"/>
    <w:rsid w:val="0057733E"/>
    <w:rsid w:val="00577A03"/>
    <w:rsid w:val="005801CE"/>
    <w:rsid w:val="0058588F"/>
    <w:rsid w:val="005865A7"/>
    <w:rsid w:val="00586F7F"/>
    <w:rsid w:val="00590A6D"/>
    <w:rsid w:val="00592073"/>
    <w:rsid w:val="00597E3C"/>
    <w:rsid w:val="005A3A44"/>
    <w:rsid w:val="005A4F32"/>
    <w:rsid w:val="005A577A"/>
    <w:rsid w:val="005B3908"/>
    <w:rsid w:val="005B4C04"/>
    <w:rsid w:val="005B5ADD"/>
    <w:rsid w:val="005B6BDB"/>
    <w:rsid w:val="005C0B50"/>
    <w:rsid w:val="005C1C52"/>
    <w:rsid w:val="005C22FA"/>
    <w:rsid w:val="005C3FE5"/>
    <w:rsid w:val="005D066F"/>
    <w:rsid w:val="005D0E1D"/>
    <w:rsid w:val="005D23EF"/>
    <w:rsid w:val="005D3D51"/>
    <w:rsid w:val="005D6C93"/>
    <w:rsid w:val="005D6CE5"/>
    <w:rsid w:val="005D7E1F"/>
    <w:rsid w:val="005E226E"/>
    <w:rsid w:val="005F0181"/>
    <w:rsid w:val="005F7821"/>
    <w:rsid w:val="0060053D"/>
    <w:rsid w:val="006064E5"/>
    <w:rsid w:val="00613321"/>
    <w:rsid w:val="0061397A"/>
    <w:rsid w:val="00613AE2"/>
    <w:rsid w:val="0062018A"/>
    <w:rsid w:val="00620921"/>
    <w:rsid w:val="0062760E"/>
    <w:rsid w:val="00627AD0"/>
    <w:rsid w:val="00630C15"/>
    <w:rsid w:val="00631FE2"/>
    <w:rsid w:val="006326D7"/>
    <w:rsid w:val="00632781"/>
    <w:rsid w:val="0063455E"/>
    <w:rsid w:val="00634CCA"/>
    <w:rsid w:val="00636CE2"/>
    <w:rsid w:val="00637BFD"/>
    <w:rsid w:val="0064296A"/>
    <w:rsid w:val="00643172"/>
    <w:rsid w:val="0064449D"/>
    <w:rsid w:val="0064535C"/>
    <w:rsid w:val="00647152"/>
    <w:rsid w:val="0065237C"/>
    <w:rsid w:val="00653230"/>
    <w:rsid w:val="00653A33"/>
    <w:rsid w:val="00655664"/>
    <w:rsid w:val="00656185"/>
    <w:rsid w:val="00656979"/>
    <w:rsid w:val="00656D0F"/>
    <w:rsid w:val="00662131"/>
    <w:rsid w:val="00663638"/>
    <w:rsid w:val="00664AAD"/>
    <w:rsid w:val="006652CA"/>
    <w:rsid w:val="00666021"/>
    <w:rsid w:val="0067044E"/>
    <w:rsid w:val="00670D5A"/>
    <w:rsid w:val="00670F05"/>
    <w:rsid w:val="006743CA"/>
    <w:rsid w:val="006748D0"/>
    <w:rsid w:val="00682C8D"/>
    <w:rsid w:val="006856A4"/>
    <w:rsid w:val="00686BA0"/>
    <w:rsid w:val="00690774"/>
    <w:rsid w:val="00691B2F"/>
    <w:rsid w:val="0069377A"/>
    <w:rsid w:val="0069532D"/>
    <w:rsid w:val="006A023E"/>
    <w:rsid w:val="006A2C89"/>
    <w:rsid w:val="006A799F"/>
    <w:rsid w:val="006B0050"/>
    <w:rsid w:val="006B1654"/>
    <w:rsid w:val="006B4C76"/>
    <w:rsid w:val="006B7A4E"/>
    <w:rsid w:val="006C0076"/>
    <w:rsid w:val="006C09E5"/>
    <w:rsid w:val="006C11A9"/>
    <w:rsid w:val="006C234D"/>
    <w:rsid w:val="006C2E85"/>
    <w:rsid w:val="006C48F8"/>
    <w:rsid w:val="006C6831"/>
    <w:rsid w:val="006C6D59"/>
    <w:rsid w:val="006C6FEF"/>
    <w:rsid w:val="006C7C83"/>
    <w:rsid w:val="006D0C96"/>
    <w:rsid w:val="006D6703"/>
    <w:rsid w:val="006D6ACE"/>
    <w:rsid w:val="006E0758"/>
    <w:rsid w:val="006E13BF"/>
    <w:rsid w:val="006E231F"/>
    <w:rsid w:val="006E25A6"/>
    <w:rsid w:val="006E26C4"/>
    <w:rsid w:val="006E5262"/>
    <w:rsid w:val="006E7B69"/>
    <w:rsid w:val="006F150C"/>
    <w:rsid w:val="006F4794"/>
    <w:rsid w:val="006F767E"/>
    <w:rsid w:val="0070373E"/>
    <w:rsid w:val="0070537F"/>
    <w:rsid w:val="00706D86"/>
    <w:rsid w:val="00707067"/>
    <w:rsid w:val="007132E2"/>
    <w:rsid w:val="00717FD6"/>
    <w:rsid w:val="00721E70"/>
    <w:rsid w:val="0072429C"/>
    <w:rsid w:val="0073026D"/>
    <w:rsid w:val="00732583"/>
    <w:rsid w:val="00732693"/>
    <w:rsid w:val="0073356A"/>
    <w:rsid w:val="00733FDC"/>
    <w:rsid w:val="00737D7E"/>
    <w:rsid w:val="00741968"/>
    <w:rsid w:val="00742639"/>
    <w:rsid w:val="007429F4"/>
    <w:rsid w:val="0074426D"/>
    <w:rsid w:val="00744C6C"/>
    <w:rsid w:val="0075068D"/>
    <w:rsid w:val="00751A44"/>
    <w:rsid w:val="00751EFB"/>
    <w:rsid w:val="00753F93"/>
    <w:rsid w:val="007565F9"/>
    <w:rsid w:val="00757B78"/>
    <w:rsid w:val="00760249"/>
    <w:rsid w:val="00760F77"/>
    <w:rsid w:val="007640F1"/>
    <w:rsid w:val="007642BC"/>
    <w:rsid w:val="007646E3"/>
    <w:rsid w:val="00765B87"/>
    <w:rsid w:val="00770FCB"/>
    <w:rsid w:val="00771928"/>
    <w:rsid w:val="00771F31"/>
    <w:rsid w:val="00772639"/>
    <w:rsid w:val="0077269C"/>
    <w:rsid w:val="00773575"/>
    <w:rsid w:val="00775AC1"/>
    <w:rsid w:val="00782F7C"/>
    <w:rsid w:val="00784134"/>
    <w:rsid w:val="00786B32"/>
    <w:rsid w:val="00787480"/>
    <w:rsid w:val="0079225B"/>
    <w:rsid w:val="007940D5"/>
    <w:rsid w:val="00794D79"/>
    <w:rsid w:val="00795E74"/>
    <w:rsid w:val="0079625D"/>
    <w:rsid w:val="00796A7F"/>
    <w:rsid w:val="007A192A"/>
    <w:rsid w:val="007B2342"/>
    <w:rsid w:val="007B2A3E"/>
    <w:rsid w:val="007B3E5F"/>
    <w:rsid w:val="007B4098"/>
    <w:rsid w:val="007B4873"/>
    <w:rsid w:val="007C3A7B"/>
    <w:rsid w:val="007C57E0"/>
    <w:rsid w:val="007C6160"/>
    <w:rsid w:val="007D1062"/>
    <w:rsid w:val="007D160D"/>
    <w:rsid w:val="007D30F3"/>
    <w:rsid w:val="007D3387"/>
    <w:rsid w:val="007D3889"/>
    <w:rsid w:val="007E2865"/>
    <w:rsid w:val="007E3000"/>
    <w:rsid w:val="007E4299"/>
    <w:rsid w:val="007E4D4B"/>
    <w:rsid w:val="007E6523"/>
    <w:rsid w:val="007F0B81"/>
    <w:rsid w:val="007F1B59"/>
    <w:rsid w:val="007F5638"/>
    <w:rsid w:val="008012D2"/>
    <w:rsid w:val="00803719"/>
    <w:rsid w:val="00805332"/>
    <w:rsid w:val="00805597"/>
    <w:rsid w:val="00806A3E"/>
    <w:rsid w:val="00810039"/>
    <w:rsid w:val="00813D3D"/>
    <w:rsid w:val="0081488E"/>
    <w:rsid w:val="0081608B"/>
    <w:rsid w:val="00820C57"/>
    <w:rsid w:val="0082483B"/>
    <w:rsid w:val="00831517"/>
    <w:rsid w:val="0083388F"/>
    <w:rsid w:val="00836B71"/>
    <w:rsid w:val="00836CEA"/>
    <w:rsid w:val="00837B06"/>
    <w:rsid w:val="008403BF"/>
    <w:rsid w:val="00840999"/>
    <w:rsid w:val="00841818"/>
    <w:rsid w:val="00841E79"/>
    <w:rsid w:val="008422B2"/>
    <w:rsid w:val="00844696"/>
    <w:rsid w:val="00847D36"/>
    <w:rsid w:val="00850D8A"/>
    <w:rsid w:val="00851BA0"/>
    <w:rsid w:val="00853CC6"/>
    <w:rsid w:val="00855006"/>
    <w:rsid w:val="008559F2"/>
    <w:rsid w:val="00861B67"/>
    <w:rsid w:val="0086440D"/>
    <w:rsid w:val="00864737"/>
    <w:rsid w:val="00865DA9"/>
    <w:rsid w:val="008726E7"/>
    <w:rsid w:val="00874353"/>
    <w:rsid w:val="00874AC3"/>
    <w:rsid w:val="00875761"/>
    <w:rsid w:val="0087689F"/>
    <w:rsid w:val="00880502"/>
    <w:rsid w:val="008813A6"/>
    <w:rsid w:val="00881CF8"/>
    <w:rsid w:val="00881FB1"/>
    <w:rsid w:val="0088291E"/>
    <w:rsid w:val="00882D3E"/>
    <w:rsid w:val="008839C5"/>
    <w:rsid w:val="008878D9"/>
    <w:rsid w:val="0089154A"/>
    <w:rsid w:val="00892FAD"/>
    <w:rsid w:val="00894903"/>
    <w:rsid w:val="00896D74"/>
    <w:rsid w:val="008977DE"/>
    <w:rsid w:val="008A25AB"/>
    <w:rsid w:val="008A3085"/>
    <w:rsid w:val="008A471E"/>
    <w:rsid w:val="008B051A"/>
    <w:rsid w:val="008B14FA"/>
    <w:rsid w:val="008B1B47"/>
    <w:rsid w:val="008B233D"/>
    <w:rsid w:val="008B2E36"/>
    <w:rsid w:val="008B2F06"/>
    <w:rsid w:val="008B5E9A"/>
    <w:rsid w:val="008B69B9"/>
    <w:rsid w:val="008B719F"/>
    <w:rsid w:val="008C0BD3"/>
    <w:rsid w:val="008C1EC9"/>
    <w:rsid w:val="008C5497"/>
    <w:rsid w:val="008C6D4F"/>
    <w:rsid w:val="008D0F56"/>
    <w:rsid w:val="008D4802"/>
    <w:rsid w:val="008D5CA2"/>
    <w:rsid w:val="008D784F"/>
    <w:rsid w:val="008D7D18"/>
    <w:rsid w:val="008E0B61"/>
    <w:rsid w:val="008E213F"/>
    <w:rsid w:val="008E21D3"/>
    <w:rsid w:val="008E2A53"/>
    <w:rsid w:val="008E2CC2"/>
    <w:rsid w:val="008E3110"/>
    <w:rsid w:val="008E53EC"/>
    <w:rsid w:val="008E68C4"/>
    <w:rsid w:val="008E68FE"/>
    <w:rsid w:val="008E773A"/>
    <w:rsid w:val="008E7BBE"/>
    <w:rsid w:val="008F0808"/>
    <w:rsid w:val="008F3034"/>
    <w:rsid w:val="008F481C"/>
    <w:rsid w:val="008F6CD3"/>
    <w:rsid w:val="008F7C34"/>
    <w:rsid w:val="008F7DDD"/>
    <w:rsid w:val="00901627"/>
    <w:rsid w:val="00905AD2"/>
    <w:rsid w:val="00906885"/>
    <w:rsid w:val="00906FA0"/>
    <w:rsid w:val="009150E4"/>
    <w:rsid w:val="00916749"/>
    <w:rsid w:val="00916998"/>
    <w:rsid w:val="009172D7"/>
    <w:rsid w:val="0091791F"/>
    <w:rsid w:val="00922F05"/>
    <w:rsid w:val="0092307E"/>
    <w:rsid w:val="009272A0"/>
    <w:rsid w:val="0092777F"/>
    <w:rsid w:val="00927C01"/>
    <w:rsid w:val="00931608"/>
    <w:rsid w:val="00931869"/>
    <w:rsid w:val="00932F15"/>
    <w:rsid w:val="00933868"/>
    <w:rsid w:val="0093406E"/>
    <w:rsid w:val="00943440"/>
    <w:rsid w:val="0095233E"/>
    <w:rsid w:val="00952D5A"/>
    <w:rsid w:val="009542A1"/>
    <w:rsid w:val="00956B6B"/>
    <w:rsid w:val="00957580"/>
    <w:rsid w:val="009614EF"/>
    <w:rsid w:val="0096237B"/>
    <w:rsid w:val="0096567E"/>
    <w:rsid w:val="00965EEC"/>
    <w:rsid w:val="00972891"/>
    <w:rsid w:val="009732DF"/>
    <w:rsid w:val="0097434B"/>
    <w:rsid w:val="0097687C"/>
    <w:rsid w:val="00976D8C"/>
    <w:rsid w:val="00980A3B"/>
    <w:rsid w:val="00980EBD"/>
    <w:rsid w:val="0098107D"/>
    <w:rsid w:val="00981334"/>
    <w:rsid w:val="0098133D"/>
    <w:rsid w:val="0098322E"/>
    <w:rsid w:val="00986239"/>
    <w:rsid w:val="00991F5F"/>
    <w:rsid w:val="00993745"/>
    <w:rsid w:val="00994AD6"/>
    <w:rsid w:val="0099602B"/>
    <w:rsid w:val="009A3944"/>
    <w:rsid w:val="009B314A"/>
    <w:rsid w:val="009B3738"/>
    <w:rsid w:val="009B588A"/>
    <w:rsid w:val="009B6191"/>
    <w:rsid w:val="009C4930"/>
    <w:rsid w:val="009C58CC"/>
    <w:rsid w:val="009C5C39"/>
    <w:rsid w:val="009C5DFD"/>
    <w:rsid w:val="009C6C71"/>
    <w:rsid w:val="009D334E"/>
    <w:rsid w:val="009D38E2"/>
    <w:rsid w:val="009D4932"/>
    <w:rsid w:val="009D7926"/>
    <w:rsid w:val="009D7B26"/>
    <w:rsid w:val="009E615A"/>
    <w:rsid w:val="009E671D"/>
    <w:rsid w:val="009E6E62"/>
    <w:rsid w:val="009E7CBE"/>
    <w:rsid w:val="009F0081"/>
    <w:rsid w:val="009F0664"/>
    <w:rsid w:val="009F0C74"/>
    <w:rsid w:val="009F2C0A"/>
    <w:rsid w:val="009F32F8"/>
    <w:rsid w:val="009F5359"/>
    <w:rsid w:val="009F6D52"/>
    <w:rsid w:val="009F76D0"/>
    <w:rsid w:val="00A049A3"/>
    <w:rsid w:val="00A05419"/>
    <w:rsid w:val="00A10DAC"/>
    <w:rsid w:val="00A12E76"/>
    <w:rsid w:val="00A16FF8"/>
    <w:rsid w:val="00A17712"/>
    <w:rsid w:val="00A17E07"/>
    <w:rsid w:val="00A2168B"/>
    <w:rsid w:val="00A21A9B"/>
    <w:rsid w:val="00A23EEB"/>
    <w:rsid w:val="00A2624C"/>
    <w:rsid w:val="00A328AB"/>
    <w:rsid w:val="00A33111"/>
    <w:rsid w:val="00A35EED"/>
    <w:rsid w:val="00A36FBC"/>
    <w:rsid w:val="00A411AF"/>
    <w:rsid w:val="00A42528"/>
    <w:rsid w:val="00A427CF"/>
    <w:rsid w:val="00A4313B"/>
    <w:rsid w:val="00A502E8"/>
    <w:rsid w:val="00A516B6"/>
    <w:rsid w:val="00A52689"/>
    <w:rsid w:val="00A52C50"/>
    <w:rsid w:val="00A52E33"/>
    <w:rsid w:val="00A55ACB"/>
    <w:rsid w:val="00A60C4F"/>
    <w:rsid w:val="00A65845"/>
    <w:rsid w:val="00A726F1"/>
    <w:rsid w:val="00A74635"/>
    <w:rsid w:val="00A748FA"/>
    <w:rsid w:val="00A80992"/>
    <w:rsid w:val="00A8188B"/>
    <w:rsid w:val="00A8352C"/>
    <w:rsid w:val="00A83DDB"/>
    <w:rsid w:val="00A85DBB"/>
    <w:rsid w:val="00A932EF"/>
    <w:rsid w:val="00A933A8"/>
    <w:rsid w:val="00AA2472"/>
    <w:rsid w:val="00AA3224"/>
    <w:rsid w:val="00AA607F"/>
    <w:rsid w:val="00AA6324"/>
    <w:rsid w:val="00AB1E6D"/>
    <w:rsid w:val="00AB2665"/>
    <w:rsid w:val="00AB466F"/>
    <w:rsid w:val="00AB6101"/>
    <w:rsid w:val="00AC3CCD"/>
    <w:rsid w:val="00AC6338"/>
    <w:rsid w:val="00AC7744"/>
    <w:rsid w:val="00AD0A7A"/>
    <w:rsid w:val="00AD1671"/>
    <w:rsid w:val="00AD2ED6"/>
    <w:rsid w:val="00AE21D4"/>
    <w:rsid w:val="00AE2B6A"/>
    <w:rsid w:val="00AE3AB7"/>
    <w:rsid w:val="00AE3E98"/>
    <w:rsid w:val="00AE4157"/>
    <w:rsid w:val="00AE46EC"/>
    <w:rsid w:val="00AE529E"/>
    <w:rsid w:val="00AE70ED"/>
    <w:rsid w:val="00AF09AA"/>
    <w:rsid w:val="00AF142B"/>
    <w:rsid w:val="00AF34A7"/>
    <w:rsid w:val="00AF5376"/>
    <w:rsid w:val="00AF5712"/>
    <w:rsid w:val="00B0147B"/>
    <w:rsid w:val="00B014B9"/>
    <w:rsid w:val="00B05D88"/>
    <w:rsid w:val="00B06B3B"/>
    <w:rsid w:val="00B10B56"/>
    <w:rsid w:val="00B13589"/>
    <w:rsid w:val="00B13D54"/>
    <w:rsid w:val="00B178EE"/>
    <w:rsid w:val="00B242B6"/>
    <w:rsid w:val="00B24C65"/>
    <w:rsid w:val="00B25966"/>
    <w:rsid w:val="00B25D33"/>
    <w:rsid w:val="00B26C9D"/>
    <w:rsid w:val="00B27D67"/>
    <w:rsid w:val="00B314BA"/>
    <w:rsid w:val="00B3288F"/>
    <w:rsid w:val="00B34EE9"/>
    <w:rsid w:val="00B37526"/>
    <w:rsid w:val="00B4015F"/>
    <w:rsid w:val="00B42354"/>
    <w:rsid w:val="00B4334D"/>
    <w:rsid w:val="00B449D9"/>
    <w:rsid w:val="00B45AC3"/>
    <w:rsid w:val="00B50D99"/>
    <w:rsid w:val="00B53F0C"/>
    <w:rsid w:val="00B5719D"/>
    <w:rsid w:val="00B63045"/>
    <w:rsid w:val="00B6537C"/>
    <w:rsid w:val="00B71104"/>
    <w:rsid w:val="00B71248"/>
    <w:rsid w:val="00B7263A"/>
    <w:rsid w:val="00B73317"/>
    <w:rsid w:val="00B75342"/>
    <w:rsid w:val="00B81D9D"/>
    <w:rsid w:val="00B82130"/>
    <w:rsid w:val="00B85807"/>
    <w:rsid w:val="00B9321C"/>
    <w:rsid w:val="00B93C83"/>
    <w:rsid w:val="00B94A58"/>
    <w:rsid w:val="00B97C71"/>
    <w:rsid w:val="00BA0C1B"/>
    <w:rsid w:val="00BA1A40"/>
    <w:rsid w:val="00BA2CAB"/>
    <w:rsid w:val="00BA3E2F"/>
    <w:rsid w:val="00BA54AD"/>
    <w:rsid w:val="00BA5CF2"/>
    <w:rsid w:val="00BB2D42"/>
    <w:rsid w:val="00BC1199"/>
    <w:rsid w:val="00BC2F00"/>
    <w:rsid w:val="00BC41EB"/>
    <w:rsid w:val="00BC61D0"/>
    <w:rsid w:val="00BD0523"/>
    <w:rsid w:val="00BD23FA"/>
    <w:rsid w:val="00BD637D"/>
    <w:rsid w:val="00BD704A"/>
    <w:rsid w:val="00BD73C9"/>
    <w:rsid w:val="00BE518B"/>
    <w:rsid w:val="00BE62C5"/>
    <w:rsid w:val="00BE68AE"/>
    <w:rsid w:val="00BF07E6"/>
    <w:rsid w:val="00BF09EA"/>
    <w:rsid w:val="00BF12E1"/>
    <w:rsid w:val="00BF49AF"/>
    <w:rsid w:val="00BF4A59"/>
    <w:rsid w:val="00BF6AA8"/>
    <w:rsid w:val="00BF7D76"/>
    <w:rsid w:val="00C0282D"/>
    <w:rsid w:val="00C040EB"/>
    <w:rsid w:val="00C042BB"/>
    <w:rsid w:val="00C06E92"/>
    <w:rsid w:val="00C10646"/>
    <w:rsid w:val="00C11987"/>
    <w:rsid w:val="00C14307"/>
    <w:rsid w:val="00C14460"/>
    <w:rsid w:val="00C1589F"/>
    <w:rsid w:val="00C15CF2"/>
    <w:rsid w:val="00C1738A"/>
    <w:rsid w:val="00C17EEB"/>
    <w:rsid w:val="00C208ED"/>
    <w:rsid w:val="00C21260"/>
    <w:rsid w:val="00C26311"/>
    <w:rsid w:val="00C27807"/>
    <w:rsid w:val="00C3327F"/>
    <w:rsid w:val="00C35812"/>
    <w:rsid w:val="00C4006D"/>
    <w:rsid w:val="00C4230A"/>
    <w:rsid w:val="00C45826"/>
    <w:rsid w:val="00C4596E"/>
    <w:rsid w:val="00C52DD4"/>
    <w:rsid w:val="00C54ABA"/>
    <w:rsid w:val="00C554D7"/>
    <w:rsid w:val="00C5695D"/>
    <w:rsid w:val="00C57060"/>
    <w:rsid w:val="00C57CF0"/>
    <w:rsid w:val="00C57FA6"/>
    <w:rsid w:val="00C706BF"/>
    <w:rsid w:val="00C70DE9"/>
    <w:rsid w:val="00C70E73"/>
    <w:rsid w:val="00C74FF2"/>
    <w:rsid w:val="00C768D4"/>
    <w:rsid w:val="00C8287E"/>
    <w:rsid w:val="00C82F79"/>
    <w:rsid w:val="00C8455E"/>
    <w:rsid w:val="00C86A32"/>
    <w:rsid w:val="00C86FBE"/>
    <w:rsid w:val="00C908A3"/>
    <w:rsid w:val="00C91843"/>
    <w:rsid w:val="00C9256C"/>
    <w:rsid w:val="00C928C3"/>
    <w:rsid w:val="00C93751"/>
    <w:rsid w:val="00C9441B"/>
    <w:rsid w:val="00C94906"/>
    <w:rsid w:val="00C95A5A"/>
    <w:rsid w:val="00CA286F"/>
    <w:rsid w:val="00CA605E"/>
    <w:rsid w:val="00CA68F0"/>
    <w:rsid w:val="00CA744E"/>
    <w:rsid w:val="00CA7F1D"/>
    <w:rsid w:val="00CB0939"/>
    <w:rsid w:val="00CB228C"/>
    <w:rsid w:val="00CB3EDB"/>
    <w:rsid w:val="00CB5C43"/>
    <w:rsid w:val="00CB6D6B"/>
    <w:rsid w:val="00CB766D"/>
    <w:rsid w:val="00CC51D0"/>
    <w:rsid w:val="00CC5B72"/>
    <w:rsid w:val="00CC6474"/>
    <w:rsid w:val="00CD2475"/>
    <w:rsid w:val="00CD3D28"/>
    <w:rsid w:val="00CD6CD7"/>
    <w:rsid w:val="00CE0213"/>
    <w:rsid w:val="00CE1292"/>
    <w:rsid w:val="00CE5A29"/>
    <w:rsid w:val="00CE6009"/>
    <w:rsid w:val="00CE662F"/>
    <w:rsid w:val="00CE7BFC"/>
    <w:rsid w:val="00CF5798"/>
    <w:rsid w:val="00CF6869"/>
    <w:rsid w:val="00D01074"/>
    <w:rsid w:val="00D01A03"/>
    <w:rsid w:val="00D1003D"/>
    <w:rsid w:val="00D132F3"/>
    <w:rsid w:val="00D148FC"/>
    <w:rsid w:val="00D14B89"/>
    <w:rsid w:val="00D16668"/>
    <w:rsid w:val="00D26538"/>
    <w:rsid w:val="00D314F9"/>
    <w:rsid w:val="00D31E0F"/>
    <w:rsid w:val="00D344B6"/>
    <w:rsid w:val="00D34857"/>
    <w:rsid w:val="00D34ABF"/>
    <w:rsid w:val="00D407AB"/>
    <w:rsid w:val="00D40CE0"/>
    <w:rsid w:val="00D41933"/>
    <w:rsid w:val="00D4225B"/>
    <w:rsid w:val="00D43BEF"/>
    <w:rsid w:val="00D444FF"/>
    <w:rsid w:val="00D45831"/>
    <w:rsid w:val="00D45CD6"/>
    <w:rsid w:val="00D45F20"/>
    <w:rsid w:val="00D54F8A"/>
    <w:rsid w:val="00D6114B"/>
    <w:rsid w:val="00D61FF5"/>
    <w:rsid w:val="00D64C6C"/>
    <w:rsid w:val="00D65D9C"/>
    <w:rsid w:val="00D675CE"/>
    <w:rsid w:val="00D67E94"/>
    <w:rsid w:val="00D7654E"/>
    <w:rsid w:val="00D8432C"/>
    <w:rsid w:val="00D84ADB"/>
    <w:rsid w:val="00D91CDD"/>
    <w:rsid w:val="00D92905"/>
    <w:rsid w:val="00D92A17"/>
    <w:rsid w:val="00D93108"/>
    <w:rsid w:val="00D94470"/>
    <w:rsid w:val="00D959AF"/>
    <w:rsid w:val="00D96AD3"/>
    <w:rsid w:val="00D96AED"/>
    <w:rsid w:val="00DA0E1E"/>
    <w:rsid w:val="00DA5D74"/>
    <w:rsid w:val="00DA633C"/>
    <w:rsid w:val="00DA6786"/>
    <w:rsid w:val="00DB03C0"/>
    <w:rsid w:val="00DB0C17"/>
    <w:rsid w:val="00DB1C96"/>
    <w:rsid w:val="00DB43ED"/>
    <w:rsid w:val="00DB4E53"/>
    <w:rsid w:val="00DB5B8E"/>
    <w:rsid w:val="00DB65F6"/>
    <w:rsid w:val="00DB684D"/>
    <w:rsid w:val="00DC17C6"/>
    <w:rsid w:val="00DC629B"/>
    <w:rsid w:val="00DC6D2B"/>
    <w:rsid w:val="00DD12DE"/>
    <w:rsid w:val="00DD1D02"/>
    <w:rsid w:val="00DD3AA3"/>
    <w:rsid w:val="00DD5B2A"/>
    <w:rsid w:val="00DD6DA4"/>
    <w:rsid w:val="00DE04D4"/>
    <w:rsid w:val="00DE2B0B"/>
    <w:rsid w:val="00DE59D6"/>
    <w:rsid w:val="00DE6530"/>
    <w:rsid w:val="00DF2DFA"/>
    <w:rsid w:val="00DF2E58"/>
    <w:rsid w:val="00DF5097"/>
    <w:rsid w:val="00DF71A8"/>
    <w:rsid w:val="00DF7359"/>
    <w:rsid w:val="00E00339"/>
    <w:rsid w:val="00E0213D"/>
    <w:rsid w:val="00E021A8"/>
    <w:rsid w:val="00E022A6"/>
    <w:rsid w:val="00E03E1D"/>
    <w:rsid w:val="00E047F2"/>
    <w:rsid w:val="00E06E71"/>
    <w:rsid w:val="00E07FFD"/>
    <w:rsid w:val="00E1138D"/>
    <w:rsid w:val="00E142A8"/>
    <w:rsid w:val="00E145D5"/>
    <w:rsid w:val="00E14AF2"/>
    <w:rsid w:val="00E15414"/>
    <w:rsid w:val="00E15665"/>
    <w:rsid w:val="00E15684"/>
    <w:rsid w:val="00E1589D"/>
    <w:rsid w:val="00E1779C"/>
    <w:rsid w:val="00E17D0C"/>
    <w:rsid w:val="00E20A6C"/>
    <w:rsid w:val="00E22D00"/>
    <w:rsid w:val="00E233CD"/>
    <w:rsid w:val="00E23685"/>
    <w:rsid w:val="00E27A23"/>
    <w:rsid w:val="00E307A2"/>
    <w:rsid w:val="00E316D2"/>
    <w:rsid w:val="00E32823"/>
    <w:rsid w:val="00E33C01"/>
    <w:rsid w:val="00E34390"/>
    <w:rsid w:val="00E35258"/>
    <w:rsid w:val="00E36F76"/>
    <w:rsid w:val="00E40BA5"/>
    <w:rsid w:val="00E4185A"/>
    <w:rsid w:val="00E430D3"/>
    <w:rsid w:val="00E454EC"/>
    <w:rsid w:val="00E4609A"/>
    <w:rsid w:val="00E47606"/>
    <w:rsid w:val="00E4789C"/>
    <w:rsid w:val="00E50EFA"/>
    <w:rsid w:val="00E514C7"/>
    <w:rsid w:val="00E516B4"/>
    <w:rsid w:val="00E524E3"/>
    <w:rsid w:val="00E57655"/>
    <w:rsid w:val="00E60E69"/>
    <w:rsid w:val="00E63069"/>
    <w:rsid w:val="00E665B0"/>
    <w:rsid w:val="00E66EAE"/>
    <w:rsid w:val="00E72261"/>
    <w:rsid w:val="00E7266E"/>
    <w:rsid w:val="00E75E2C"/>
    <w:rsid w:val="00E76CF9"/>
    <w:rsid w:val="00E77441"/>
    <w:rsid w:val="00E84752"/>
    <w:rsid w:val="00E8610B"/>
    <w:rsid w:val="00E9268B"/>
    <w:rsid w:val="00E973A7"/>
    <w:rsid w:val="00EA0C11"/>
    <w:rsid w:val="00EA1E61"/>
    <w:rsid w:val="00EA37E3"/>
    <w:rsid w:val="00EA4B44"/>
    <w:rsid w:val="00EA5751"/>
    <w:rsid w:val="00EA6C39"/>
    <w:rsid w:val="00EA7125"/>
    <w:rsid w:val="00EB0DEF"/>
    <w:rsid w:val="00EB2036"/>
    <w:rsid w:val="00EB5BC3"/>
    <w:rsid w:val="00EB6327"/>
    <w:rsid w:val="00EB75C3"/>
    <w:rsid w:val="00EC1894"/>
    <w:rsid w:val="00EC1D9B"/>
    <w:rsid w:val="00EC77E4"/>
    <w:rsid w:val="00ED2AF6"/>
    <w:rsid w:val="00ED6B96"/>
    <w:rsid w:val="00EE03E2"/>
    <w:rsid w:val="00EE0727"/>
    <w:rsid w:val="00EE0B14"/>
    <w:rsid w:val="00EE0F52"/>
    <w:rsid w:val="00EE126A"/>
    <w:rsid w:val="00EE2173"/>
    <w:rsid w:val="00EE58C0"/>
    <w:rsid w:val="00EE6CE2"/>
    <w:rsid w:val="00EE7274"/>
    <w:rsid w:val="00EF3354"/>
    <w:rsid w:val="00EF5296"/>
    <w:rsid w:val="00F00DE8"/>
    <w:rsid w:val="00F02B35"/>
    <w:rsid w:val="00F04AC8"/>
    <w:rsid w:val="00F065B0"/>
    <w:rsid w:val="00F06A92"/>
    <w:rsid w:val="00F07EB6"/>
    <w:rsid w:val="00F111A2"/>
    <w:rsid w:val="00F11F57"/>
    <w:rsid w:val="00F125C1"/>
    <w:rsid w:val="00F1278E"/>
    <w:rsid w:val="00F14665"/>
    <w:rsid w:val="00F1507B"/>
    <w:rsid w:val="00F15D33"/>
    <w:rsid w:val="00F20932"/>
    <w:rsid w:val="00F20CD8"/>
    <w:rsid w:val="00F21C31"/>
    <w:rsid w:val="00F22687"/>
    <w:rsid w:val="00F25818"/>
    <w:rsid w:val="00F32769"/>
    <w:rsid w:val="00F33BBF"/>
    <w:rsid w:val="00F35903"/>
    <w:rsid w:val="00F36945"/>
    <w:rsid w:val="00F36964"/>
    <w:rsid w:val="00F402D4"/>
    <w:rsid w:val="00F41AEA"/>
    <w:rsid w:val="00F4367C"/>
    <w:rsid w:val="00F46D7B"/>
    <w:rsid w:val="00F51B09"/>
    <w:rsid w:val="00F5258E"/>
    <w:rsid w:val="00F55CC9"/>
    <w:rsid w:val="00F65F29"/>
    <w:rsid w:val="00F67EA2"/>
    <w:rsid w:val="00F7004A"/>
    <w:rsid w:val="00F721E5"/>
    <w:rsid w:val="00F73667"/>
    <w:rsid w:val="00F73C73"/>
    <w:rsid w:val="00F83365"/>
    <w:rsid w:val="00F85523"/>
    <w:rsid w:val="00F86032"/>
    <w:rsid w:val="00F902DF"/>
    <w:rsid w:val="00F9133F"/>
    <w:rsid w:val="00F92256"/>
    <w:rsid w:val="00F971D4"/>
    <w:rsid w:val="00F977FE"/>
    <w:rsid w:val="00FA065F"/>
    <w:rsid w:val="00FA0C80"/>
    <w:rsid w:val="00FA547C"/>
    <w:rsid w:val="00FA5DA5"/>
    <w:rsid w:val="00FA7D09"/>
    <w:rsid w:val="00FB2669"/>
    <w:rsid w:val="00FB7B4A"/>
    <w:rsid w:val="00FC0621"/>
    <w:rsid w:val="00FC16A4"/>
    <w:rsid w:val="00FC1D9C"/>
    <w:rsid w:val="00FC1E4E"/>
    <w:rsid w:val="00FC3BF7"/>
    <w:rsid w:val="00FC3EB3"/>
    <w:rsid w:val="00FC613E"/>
    <w:rsid w:val="00FC65A7"/>
    <w:rsid w:val="00FC6D6B"/>
    <w:rsid w:val="00FC7645"/>
    <w:rsid w:val="00FD206D"/>
    <w:rsid w:val="00FD274A"/>
    <w:rsid w:val="00FD71FA"/>
    <w:rsid w:val="00FD72F8"/>
    <w:rsid w:val="00FD78B1"/>
    <w:rsid w:val="00FE00B0"/>
    <w:rsid w:val="00FE0853"/>
    <w:rsid w:val="00FE5F43"/>
    <w:rsid w:val="00FE61C0"/>
    <w:rsid w:val="00FF308B"/>
    <w:rsid w:val="00FF7A8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1197"/>
  <w15:docId w15:val="{8F57466D-827B-4C47-BC82-979668F92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qFormat/>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character" w:styleId="CommentReference">
    <w:name w:val="annotation reference"/>
    <w:basedOn w:val="DefaultParagraphFont"/>
    <w:uiPriority w:val="99"/>
    <w:semiHidden/>
    <w:unhideWhenUsed/>
    <w:rsid w:val="007D3889"/>
    <w:rPr>
      <w:sz w:val="16"/>
      <w:szCs w:val="16"/>
    </w:rPr>
  </w:style>
  <w:style w:type="paragraph" w:styleId="CommentText">
    <w:name w:val="annotation text"/>
    <w:basedOn w:val="Normal"/>
    <w:link w:val="CommentTextChar"/>
    <w:uiPriority w:val="99"/>
    <w:unhideWhenUsed/>
    <w:rsid w:val="00B25966"/>
    <w:pPr>
      <w:spacing w:line="240" w:lineRule="auto"/>
    </w:pPr>
    <w:rPr>
      <w:szCs w:val="20"/>
    </w:rPr>
  </w:style>
  <w:style w:type="character" w:customStyle="1" w:styleId="CommentTextChar">
    <w:name w:val="Comment Text Char"/>
    <w:basedOn w:val="DefaultParagraphFont"/>
    <w:link w:val="CommentText"/>
    <w:uiPriority w:val="99"/>
    <w:rsid w:val="007E4299"/>
    <w:rPr>
      <w:rFonts w:ascii="Times New Roman" w:eastAsia="Times New Roman" w:hAnsi="Times New Roman"/>
      <w:lang w:eastAsia="de-DE"/>
    </w:rPr>
  </w:style>
  <w:style w:type="paragraph" w:styleId="CommentSubject">
    <w:name w:val="annotation subject"/>
    <w:basedOn w:val="CommentText"/>
    <w:next w:val="CommentText"/>
    <w:link w:val="CommentSubjectChar"/>
    <w:uiPriority w:val="99"/>
    <w:semiHidden/>
    <w:unhideWhenUsed/>
    <w:rsid w:val="007E4299"/>
    <w:rPr>
      <w:b/>
      <w:bCs/>
    </w:rPr>
  </w:style>
  <w:style w:type="character" w:customStyle="1" w:styleId="CommentSubjectChar">
    <w:name w:val="Comment Subject Char"/>
    <w:basedOn w:val="CommentTextChar"/>
    <w:link w:val="CommentSubject"/>
    <w:uiPriority w:val="99"/>
    <w:semiHidden/>
    <w:rsid w:val="007E4299"/>
    <w:rPr>
      <w:rFonts w:ascii="Times New Roman" w:eastAsia="Times New Roman" w:hAnsi="Times New Roman"/>
      <w:b/>
      <w:bCs/>
      <w:lang w:eastAsia="de-DE"/>
    </w:rPr>
  </w:style>
  <w:style w:type="paragraph" w:styleId="Revision">
    <w:name w:val="Revision"/>
    <w:hidden/>
    <w:uiPriority w:val="99"/>
    <w:semiHidden/>
    <w:rsid w:val="008012D2"/>
    <w:rPr>
      <w:rFonts w:ascii="Times New Roman" w:eastAsia="Times New Roman" w:hAnsi="Times New Roman"/>
      <w:szCs w:val="24"/>
      <w:lang w:eastAsia="de-DE"/>
    </w:rPr>
  </w:style>
  <w:style w:type="table" w:styleId="TableGrid">
    <w:name w:val="Table Grid"/>
    <w:basedOn w:val="TableNormal"/>
    <w:uiPriority w:val="39"/>
    <w:rsid w:val="00E03E1D"/>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4733">
      <w:bodyDiv w:val="1"/>
      <w:marLeft w:val="0"/>
      <w:marRight w:val="0"/>
      <w:marTop w:val="0"/>
      <w:marBottom w:val="0"/>
      <w:divBdr>
        <w:top w:val="none" w:sz="0" w:space="0" w:color="auto"/>
        <w:left w:val="none" w:sz="0" w:space="0" w:color="auto"/>
        <w:bottom w:val="none" w:sz="0" w:space="0" w:color="auto"/>
        <w:right w:val="none" w:sz="0" w:space="0" w:color="auto"/>
      </w:divBdr>
    </w:div>
    <w:div w:id="1237667215">
      <w:bodyDiv w:val="1"/>
      <w:marLeft w:val="0"/>
      <w:marRight w:val="0"/>
      <w:marTop w:val="0"/>
      <w:marBottom w:val="0"/>
      <w:divBdr>
        <w:top w:val="none" w:sz="0" w:space="0" w:color="auto"/>
        <w:left w:val="none" w:sz="0" w:space="0" w:color="auto"/>
        <w:bottom w:val="none" w:sz="0" w:space="0" w:color="auto"/>
        <w:right w:val="none" w:sz="0" w:space="0" w:color="auto"/>
      </w:divBdr>
    </w:div>
    <w:div w:id="1436435465">
      <w:bodyDiv w:val="1"/>
      <w:marLeft w:val="0"/>
      <w:marRight w:val="0"/>
      <w:marTop w:val="0"/>
      <w:marBottom w:val="0"/>
      <w:divBdr>
        <w:top w:val="none" w:sz="0" w:space="0" w:color="auto"/>
        <w:left w:val="none" w:sz="0" w:space="0" w:color="auto"/>
        <w:bottom w:val="none" w:sz="0" w:space="0" w:color="auto"/>
        <w:right w:val="none" w:sz="0" w:space="0" w:color="auto"/>
      </w:divBdr>
    </w:div>
    <w:div w:id="1597790504">
      <w:bodyDiv w:val="1"/>
      <w:marLeft w:val="0"/>
      <w:marRight w:val="0"/>
      <w:marTop w:val="0"/>
      <w:marBottom w:val="0"/>
      <w:divBdr>
        <w:top w:val="none" w:sz="0" w:space="0" w:color="auto"/>
        <w:left w:val="none" w:sz="0" w:space="0" w:color="auto"/>
        <w:bottom w:val="none" w:sz="0" w:space="0" w:color="auto"/>
        <w:right w:val="none" w:sz="0" w:space="0" w:color="auto"/>
      </w:divBdr>
    </w:div>
    <w:div w:id="170552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8B4AF-C7ED-49FC-BA18-8CF1A70BCFD1}">
  <ds:schemaRefs>
    <ds:schemaRef ds:uri="http://schemas.openxmlformats.org/officeDocument/2006/bibliography"/>
  </ds:schemaRefs>
</ds:datastoreItem>
</file>

<file path=customXml/itemProps2.xml><?xml version="1.0" encoding="utf-8"?>
<ds:datastoreItem xmlns:ds="http://schemas.openxmlformats.org/officeDocument/2006/customXml" ds:itemID="{8866198D-DEDE-40A8-BBEC-29CE0E1D1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0</TotalTime>
  <Pages>4</Pages>
  <Words>2459</Words>
  <Characters>14022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16449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subject/>
  <dc:creator>Martin Rasmussen</dc:creator>
  <cp:keywords/>
  <dc:description/>
  <cp:lastModifiedBy>Niall Gandy</cp:lastModifiedBy>
  <cp:revision>2</cp:revision>
  <cp:lastPrinted>2018-04-26T09:18:00Z</cp:lastPrinted>
  <dcterms:created xsi:type="dcterms:W3CDTF">2018-05-23T08:34:00Z</dcterms:created>
  <dcterms:modified xsi:type="dcterms:W3CDTF">2018-05-23T08:34:00Z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5eb967b9-5cdf-3d08-b33c-af5bc5fe4955</vt:lpwstr>
  </property>
  <property fmtid="{D5CDD505-2E9C-101B-9397-08002B2CF9AE}" pid="4" name="Mendeley Citation Style_1">
    <vt:lpwstr>http://www.zotero.org/styles/elsevier-harvard</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http://www.zotero.org/styles/elsevier-harvard</vt:lpwstr>
  </property>
  <property fmtid="{D5CDD505-2E9C-101B-9397-08002B2CF9AE}" pid="14" name="Mendeley Recent Style Name 4_1">
    <vt:lpwstr>Elsevier Harvard (with titles)</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